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807" w:rsidRPr="008F2253" w:rsidRDefault="00F40E2E" w:rsidP="0046047C">
      <w:pPr>
        <w:spacing w:before="100" w:beforeAutospacing="1" w:after="100" w:afterAutospacing="1" w:line="480" w:lineRule="auto"/>
        <w:jc w:val="both"/>
        <w:rPr>
          <w:rFonts w:ascii="Verdana" w:hAnsi="Verdana" w:cs="Times New Roman"/>
          <w:b/>
          <w:sz w:val="24"/>
          <w:szCs w:val="24"/>
          <w:u w:val="single"/>
        </w:rPr>
      </w:pPr>
      <w:r w:rsidRPr="00F40E2E">
        <w:rPr>
          <w:rFonts w:ascii="Verdana" w:hAnsi="Verdana" w:cs="Times New Roman"/>
          <w:b/>
          <w:sz w:val="24"/>
          <w:szCs w:val="24"/>
          <w:u w:val="single"/>
        </w:rPr>
        <w:t>IMUNIDADES TRIBUTÁRIAS PREVISTAS NOS ARTIGOS 150, INCISO VI, LETRA ‘C’, E 195, § 7º, DA C.F. SÃO CLÁUSULAS PÉTREAS POR FORÇA DO ARTIGO</w:t>
      </w:r>
      <w:r>
        <w:rPr>
          <w:rFonts w:ascii="Verdana" w:hAnsi="Verdana" w:cs="Times New Roman"/>
          <w:b/>
          <w:sz w:val="24"/>
          <w:szCs w:val="24"/>
          <w:u w:val="single"/>
        </w:rPr>
        <w:t xml:space="preserve"> 60, § 4º, INCISO IV, DA LEI SUPREMA. O PROJETO DE EMENDA CONSTITUCIONAL Nº 287/2016 NÃO OBJETIVA ALTERAR O PRINCÍPIO CONSTITUCIONAL</w:t>
      </w:r>
      <w:r w:rsidRPr="00F40E2E">
        <w:rPr>
          <w:rFonts w:ascii="Verdana" w:hAnsi="Verdana" w:cs="Times New Roman"/>
          <w:b/>
          <w:sz w:val="24"/>
          <w:szCs w:val="24"/>
          <w:u w:val="single"/>
        </w:rPr>
        <w:t xml:space="preserve">  </w:t>
      </w:r>
      <w:r>
        <w:rPr>
          <w:rFonts w:ascii="Verdana" w:hAnsi="Verdana" w:cs="Times New Roman"/>
          <w:b/>
          <w:sz w:val="24"/>
          <w:szCs w:val="24"/>
          <w:u w:val="single"/>
        </w:rPr>
        <w:t>E SE A</w:t>
      </w:r>
      <w:r w:rsidR="00DA1CDC">
        <w:rPr>
          <w:rFonts w:ascii="Verdana" w:hAnsi="Verdana" w:cs="Times New Roman"/>
          <w:b/>
          <w:sz w:val="24"/>
          <w:szCs w:val="24"/>
          <w:u w:val="single"/>
        </w:rPr>
        <w:t>LGUMA EMENDA INTENTAR ATINGÍ-LO</w:t>
      </w:r>
      <w:r>
        <w:rPr>
          <w:rFonts w:ascii="Verdana" w:hAnsi="Verdana" w:cs="Times New Roman"/>
          <w:b/>
          <w:sz w:val="24"/>
          <w:szCs w:val="24"/>
          <w:u w:val="single"/>
        </w:rPr>
        <w:t xml:space="preserve"> SERIA INCONSTITUCIONAL</w:t>
      </w:r>
      <w:r w:rsidR="0046047C" w:rsidRPr="008F2253">
        <w:rPr>
          <w:rFonts w:ascii="Verdana" w:hAnsi="Verdana" w:cs="Times New Roman"/>
          <w:b/>
          <w:sz w:val="24"/>
          <w:szCs w:val="24"/>
          <w:u w:val="single"/>
        </w:rPr>
        <w:t xml:space="preserve"> – PARECER.</w:t>
      </w:r>
    </w:p>
    <w:p w:rsidR="002332A7" w:rsidRPr="008F2253" w:rsidRDefault="00F40E2E" w:rsidP="0046047C">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 xml:space="preserve"> </w:t>
      </w:r>
    </w:p>
    <w:p w:rsidR="000B1B25" w:rsidRPr="008F2253" w:rsidRDefault="000B1B25" w:rsidP="0046047C">
      <w:pPr>
        <w:spacing w:before="100" w:beforeAutospacing="1" w:after="100" w:afterAutospacing="1" w:line="480" w:lineRule="auto"/>
        <w:jc w:val="both"/>
        <w:rPr>
          <w:rFonts w:ascii="Verdana" w:hAnsi="Verdana" w:cs="Times New Roman"/>
          <w:sz w:val="24"/>
          <w:szCs w:val="24"/>
        </w:rPr>
      </w:pPr>
    </w:p>
    <w:p w:rsidR="009167F6" w:rsidRPr="008F2253" w:rsidRDefault="00F76CAD" w:rsidP="0046047C">
      <w:pPr>
        <w:spacing w:before="100" w:beforeAutospacing="1" w:after="100" w:afterAutospacing="1" w:line="480" w:lineRule="auto"/>
        <w:jc w:val="center"/>
        <w:rPr>
          <w:rFonts w:ascii="Verdana" w:hAnsi="Verdana" w:cs="Times New Roman"/>
          <w:b/>
          <w:sz w:val="24"/>
          <w:szCs w:val="24"/>
          <w:u w:val="single"/>
        </w:rPr>
      </w:pPr>
      <w:r w:rsidRPr="008F2253">
        <w:rPr>
          <w:rFonts w:ascii="Verdana" w:hAnsi="Verdana" w:cs="Times New Roman"/>
          <w:b/>
          <w:sz w:val="24"/>
          <w:szCs w:val="24"/>
          <w:u w:val="single"/>
        </w:rPr>
        <w:t>CONSULTA</w:t>
      </w:r>
    </w:p>
    <w:p w:rsidR="000B1B25" w:rsidRPr="008F2253" w:rsidRDefault="000B1B25" w:rsidP="0046047C">
      <w:pPr>
        <w:spacing w:before="100" w:beforeAutospacing="1" w:after="100" w:afterAutospacing="1" w:line="480" w:lineRule="auto"/>
        <w:jc w:val="both"/>
        <w:rPr>
          <w:rFonts w:ascii="Verdana" w:hAnsi="Verdana" w:cs="Times New Roman"/>
          <w:sz w:val="24"/>
          <w:szCs w:val="24"/>
        </w:rPr>
      </w:pPr>
    </w:p>
    <w:p w:rsidR="006C7BB5" w:rsidRPr="008F2253" w:rsidRDefault="0046047C" w:rsidP="0046047C">
      <w:pPr>
        <w:spacing w:before="100" w:beforeAutospacing="1" w:after="100" w:afterAutospacing="1" w:line="480" w:lineRule="auto"/>
        <w:jc w:val="both"/>
        <w:rPr>
          <w:rFonts w:ascii="Verdana" w:hAnsi="Verdana" w:cs="Times New Roman"/>
          <w:sz w:val="24"/>
          <w:szCs w:val="24"/>
        </w:rPr>
      </w:pPr>
      <w:r w:rsidRPr="008F2253">
        <w:rPr>
          <w:rFonts w:ascii="Verdana" w:hAnsi="Verdana" w:cs="Times New Roman"/>
          <w:sz w:val="24"/>
          <w:szCs w:val="24"/>
        </w:rPr>
        <w:t>Formula-me o</w:t>
      </w:r>
      <w:r w:rsidR="00234969">
        <w:rPr>
          <w:rFonts w:ascii="Verdana" w:hAnsi="Verdana" w:cs="Times New Roman"/>
          <w:sz w:val="24"/>
          <w:szCs w:val="24"/>
        </w:rPr>
        <w:t xml:space="preserve"> consulente, </w:t>
      </w:r>
      <w:r w:rsidRPr="008F2253">
        <w:rPr>
          <w:rFonts w:ascii="Verdana" w:hAnsi="Verdana" w:cs="Times New Roman"/>
          <w:sz w:val="24"/>
          <w:szCs w:val="24"/>
        </w:rPr>
        <w:t xml:space="preserve">através dos eminentes advogados Drs. Décio </w:t>
      </w:r>
      <w:proofErr w:type="spellStart"/>
      <w:r w:rsidRPr="008F2253">
        <w:rPr>
          <w:rFonts w:ascii="Verdana" w:hAnsi="Verdana" w:cs="Times New Roman"/>
          <w:sz w:val="24"/>
          <w:szCs w:val="24"/>
        </w:rPr>
        <w:t>Milnitzky</w:t>
      </w:r>
      <w:proofErr w:type="spellEnd"/>
      <w:r w:rsidRPr="008F2253">
        <w:rPr>
          <w:rFonts w:ascii="Verdana" w:hAnsi="Verdana" w:cs="Times New Roman"/>
          <w:sz w:val="24"/>
          <w:szCs w:val="24"/>
        </w:rPr>
        <w:t xml:space="preserve"> e Custódio Pereira, a seguinte questão:</w:t>
      </w:r>
    </w:p>
    <w:p w:rsidR="0046047C" w:rsidRPr="00100EF5" w:rsidRDefault="008F2253" w:rsidP="008F2253">
      <w:pPr>
        <w:spacing w:after="0" w:line="480" w:lineRule="auto"/>
        <w:ind w:left="1134"/>
        <w:jc w:val="both"/>
        <w:rPr>
          <w:rFonts w:ascii="Verdana" w:hAnsi="Verdana"/>
          <w:i/>
          <w:sz w:val="24"/>
          <w:szCs w:val="24"/>
          <w:lang w:val="pt-PT"/>
        </w:rPr>
      </w:pPr>
      <w:r w:rsidRPr="00100EF5">
        <w:rPr>
          <w:rFonts w:ascii="Verdana" w:hAnsi="Verdana"/>
          <w:i/>
          <w:sz w:val="24"/>
          <w:szCs w:val="24"/>
          <w:lang w:val="pt-PT"/>
        </w:rPr>
        <w:t>“</w:t>
      </w:r>
      <w:r w:rsidR="0046047C" w:rsidRPr="00100EF5">
        <w:rPr>
          <w:rFonts w:ascii="Verdana" w:hAnsi="Verdana"/>
          <w:i/>
          <w:sz w:val="24"/>
          <w:szCs w:val="24"/>
          <w:lang w:val="pt-PT"/>
        </w:rPr>
        <w:t xml:space="preserve">Em face da iminente reforma da previdência, há interesse na obtenção, através do Fórum Nacional das Instituições Filantrópicas – FONIF, de um parecer sobre a viabilidade jurídica, ou não, de uma limitação ao poder de tributar </w:t>
      </w:r>
      <w:r w:rsidR="0046047C" w:rsidRPr="00100EF5">
        <w:rPr>
          <w:rFonts w:ascii="Verdana" w:hAnsi="Verdana"/>
          <w:i/>
          <w:sz w:val="24"/>
          <w:szCs w:val="24"/>
          <w:lang w:val="pt-PT"/>
        </w:rPr>
        <w:lastRenderedPageBreak/>
        <w:t>imposta por assembleia nacional constituinte vir a ser derrogada por meio de emenda constitucional. Noutros termos, diante de críticas demagógicas e desprendidas da realidade difundidas pela imprensa, a questão é saber se a proposta de emenda constitucional (PEC 287/2016) pode pôr em risco efetivo a imunidade das filantrópicas devidamente certificadas como entidades beneficentes de assistência social</w:t>
      </w:r>
      <w:r w:rsidRPr="00100EF5">
        <w:rPr>
          <w:rFonts w:ascii="Verdana" w:hAnsi="Verdana"/>
          <w:i/>
          <w:sz w:val="24"/>
          <w:szCs w:val="24"/>
          <w:lang w:val="pt-PT"/>
        </w:rPr>
        <w:t>”</w:t>
      </w:r>
      <w:r w:rsidR="0046047C" w:rsidRPr="00100EF5">
        <w:rPr>
          <w:rFonts w:ascii="Verdana" w:hAnsi="Verdana"/>
          <w:i/>
          <w:sz w:val="24"/>
          <w:szCs w:val="24"/>
          <w:lang w:val="pt-PT"/>
        </w:rPr>
        <w:t>.</w:t>
      </w:r>
    </w:p>
    <w:p w:rsidR="0046047C" w:rsidRDefault="0046047C" w:rsidP="0046047C">
      <w:pPr>
        <w:spacing w:before="100" w:beforeAutospacing="1" w:after="100" w:afterAutospacing="1" w:line="480" w:lineRule="auto"/>
        <w:jc w:val="both"/>
        <w:rPr>
          <w:rFonts w:ascii="Verdana" w:hAnsi="Verdana" w:cs="Times New Roman"/>
          <w:sz w:val="24"/>
          <w:szCs w:val="24"/>
        </w:rPr>
      </w:pPr>
    </w:p>
    <w:p w:rsidR="008F2253" w:rsidRDefault="008F2253" w:rsidP="008F2253">
      <w:pPr>
        <w:spacing w:before="100" w:beforeAutospacing="1" w:after="100" w:afterAutospacing="1" w:line="480" w:lineRule="auto"/>
        <w:jc w:val="center"/>
        <w:rPr>
          <w:rFonts w:ascii="Verdana" w:hAnsi="Verdana" w:cs="Times New Roman"/>
          <w:b/>
          <w:sz w:val="24"/>
          <w:szCs w:val="24"/>
          <w:u w:val="single"/>
        </w:rPr>
      </w:pPr>
      <w:r w:rsidRPr="008F2253">
        <w:rPr>
          <w:rFonts w:ascii="Verdana" w:hAnsi="Verdana" w:cs="Times New Roman"/>
          <w:b/>
          <w:sz w:val="24"/>
          <w:szCs w:val="24"/>
          <w:u w:val="single"/>
        </w:rPr>
        <w:t>RESPOSTA</w:t>
      </w:r>
    </w:p>
    <w:p w:rsidR="008F2253" w:rsidRDefault="008F2253" w:rsidP="008F2253">
      <w:pPr>
        <w:spacing w:before="100" w:beforeAutospacing="1" w:after="100" w:afterAutospacing="1" w:line="480" w:lineRule="auto"/>
        <w:jc w:val="center"/>
        <w:rPr>
          <w:rFonts w:ascii="Verdana" w:hAnsi="Verdana" w:cs="Times New Roman"/>
          <w:b/>
          <w:sz w:val="24"/>
          <w:szCs w:val="24"/>
          <w:u w:val="single"/>
        </w:rPr>
      </w:pPr>
    </w:p>
    <w:p w:rsidR="008F2253" w:rsidRDefault="008F2253" w:rsidP="008F2253">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A PEC 287/2016 pretende alterar</w:t>
      </w:r>
      <w:r w:rsidR="00F40E2E">
        <w:rPr>
          <w:rFonts w:ascii="Verdana" w:hAnsi="Verdana" w:cs="Times New Roman"/>
          <w:sz w:val="24"/>
          <w:szCs w:val="24"/>
        </w:rPr>
        <w:t>, entre outros,</w:t>
      </w:r>
      <w:r>
        <w:rPr>
          <w:rFonts w:ascii="Verdana" w:hAnsi="Verdana" w:cs="Times New Roman"/>
          <w:sz w:val="24"/>
          <w:szCs w:val="24"/>
        </w:rPr>
        <w:t xml:space="preserve"> os seguintes </w:t>
      </w:r>
      <w:r w:rsidR="00F40E2E">
        <w:rPr>
          <w:rFonts w:ascii="Verdana" w:hAnsi="Verdana" w:cs="Times New Roman"/>
          <w:sz w:val="24"/>
          <w:szCs w:val="24"/>
        </w:rPr>
        <w:t>dispositivos</w:t>
      </w:r>
      <w:r>
        <w:rPr>
          <w:rFonts w:ascii="Verdana" w:hAnsi="Verdana" w:cs="Times New Roman"/>
          <w:sz w:val="24"/>
          <w:szCs w:val="24"/>
        </w:rPr>
        <w:t xml:space="preserve"> da Constituição Federal</w:t>
      </w:r>
      <w:r w:rsidR="00F40E2E">
        <w:rPr>
          <w:rFonts w:ascii="Verdana" w:hAnsi="Verdana" w:cs="Times New Roman"/>
          <w:sz w:val="24"/>
          <w:szCs w:val="24"/>
        </w:rPr>
        <w:t xml:space="preserve"> relacionados às contribuições previdenciárias</w:t>
      </w:r>
      <w:r w:rsidR="00DC6AE9">
        <w:rPr>
          <w:rFonts w:ascii="Verdana" w:hAnsi="Verdana" w:cs="Times New Roman"/>
          <w:sz w:val="24"/>
          <w:szCs w:val="24"/>
        </w:rPr>
        <w:t>, dando-lhes a seguinte redação</w:t>
      </w:r>
      <w:r>
        <w:rPr>
          <w:rFonts w:ascii="Verdana" w:hAnsi="Verdana" w:cs="Times New Roman"/>
          <w:sz w:val="24"/>
          <w:szCs w:val="24"/>
        </w:rPr>
        <w:t>:</w:t>
      </w:r>
    </w:p>
    <w:p w:rsidR="00906C51" w:rsidRPr="00100EF5" w:rsidRDefault="008F2253" w:rsidP="00100EF5">
      <w:pPr>
        <w:spacing w:after="0" w:line="240" w:lineRule="auto"/>
        <w:ind w:left="1134"/>
        <w:jc w:val="both"/>
        <w:rPr>
          <w:rFonts w:ascii="Verdana" w:hAnsi="Verdana"/>
          <w:i/>
          <w:sz w:val="24"/>
          <w:szCs w:val="24"/>
        </w:rPr>
      </w:pPr>
      <w:r w:rsidRPr="00100EF5">
        <w:rPr>
          <w:rFonts w:ascii="Verdana" w:hAnsi="Verdana"/>
          <w:i/>
          <w:sz w:val="24"/>
          <w:szCs w:val="24"/>
        </w:rPr>
        <w:t>“Art. 149. .........................</w:t>
      </w:r>
    </w:p>
    <w:p w:rsidR="00906C51" w:rsidRPr="00100EF5" w:rsidRDefault="008F2253" w:rsidP="00100EF5">
      <w:pPr>
        <w:spacing w:after="0" w:line="240" w:lineRule="auto"/>
        <w:ind w:left="1134"/>
        <w:jc w:val="both"/>
        <w:rPr>
          <w:rFonts w:ascii="Verdana" w:hAnsi="Verdana"/>
          <w:i/>
          <w:sz w:val="24"/>
          <w:szCs w:val="24"/>
        </w:rPr>
      </w:pPr>
      <w:r w:rsidRPr="00100EF5">
        <w:rPr>
          <w:rFonts w:ascii="Verdana" w:hAnsi="Verdana"/>
          <w:i/>
          <w:sz w:val="24"/>
          <w:szCs w:val="24"/>
        </w:rPr>
        <w:t xml:space="preserve">§ 5º O disposto no inciso I do § 2º não se aplica às contribuições previdenciárias incidentes sobre a receita em substituição às incidentes sobre a folha de salários” (NR) </w:t>
      </w:r>
    </w:p>
    <w:p w:rsidR="0000494D" w:rsidRDefault="0000494D" w:rsidP="00100EF5">
      <w:pPr>
        <w:spacing w:after="0" w:line="240" w:lineRule="auto"/>
        <w:ind w:left="1134"/>
        <w:jc w:val="both"/>
        <w:rPr>
          <w:rFonts w:ascii="Verdana" w:hAnsi="Verdana"/>
          <w:i/>
          <w:sz w:val="24"/>
          <w:szCs w:val="24"/>
        </w:rPr>
      </w:pPr>
    </w:p>
    <w:p w:rsidR="00906C51" w:rsidRPr="00100EF5" w:rsidRDefault="008F2253" w:rsidP="00100EF5">
      <w:pPr>
        <w:spacing w:after="0" w:line="240" w:lineRule="auto"/>
        <w:ind w:left="1134"/>
        <w:jc w:val="both"/>
        <w:rPr>
          <w:rFonts w:ascii="Verdana" w:hAnsi="Verdana"/>
          <w:i/>
          <w:sz w:val="24"/>
          <w:szCs w:val="24"/>
        </w:rPr>
      </w:pPr>
      <w:r w:rsidRPr="00100EF5">
        <w:rPr>
          <w:rFonts w:ascii="Verdana" w:hAnsi="Verdana"/>
          <w:i/>
          <w:sz w:val="24"/>
          <w:szCs w:val="24"/>
        </w:rPr>
        <w:t>“Art. 167. ........</w:t>
      </w:r>
      <w:r w:rsidR="00906C51" w:rsidRPr="00100EF5">
        <w:rPr>
          <w:rFonts w:ascii="Verdana" w:hAnsi="Verdana"/>
          <w:i/>
          <w:sz w:val="24"/>
          <w:szCs w:val="24"/>
        </w:rPr>
        <w:t>....................</w:t>
      </w:r>
    </w:p>
    <w:p w:rsidR="00906C51" w:rsidRPr="00100EF5" w:rsidRDefault="008F2253" w:rsidP="00100EF5">
      <w:pPr>
        <w:spacing w:after="0" w:line="240" w:lineRule="auto"/>
        <w:ind w:left="1134"/>
        <w:jc w:val="both"/>
        <w:rPr>
          <w:rFonts w:ascii="Verdana" w:hAnsi="Verdana"/>
          <w:i/>
          <w:sz w:val="24"/>
          <w:szCs w:val="24"/>
        </w:rPr>
      </w:pPr>
      <w:r w:rsidRPr="00100EF5">
        <w:rPr>
          <w:rFonts w:ascii="Verdana" w:hAnsi="Verdana"/>
          <w:i/>
          <w:sz w:val="24"/>
          <w:szCs w:val="24"/>
        </w:rPr>
        <w:lastRenderedPageBreak/>
        <w:t xml:space="preserve"> XII - a utilização de recursos dos regimes de previdência de que trata o art. 40, incluídos os valores integrantes dos fundos previstos no art. 249, para a realização de despesas distintas do pagamento dos benefícios de aposentadoria ou pensão por morte do respectivo fundo vinculado ao regime e das despesas necessárias à sua organização e ao seu funcionamento, na forma da lei de que trata o § 23 do art. 40; e </w:t>
      </w:r>
    </w:p>
    <w:p w:rsidR="00906C51" w:rsidRPr="00100EF5" w:rsidRDefault="008F2253" w:rsidP="00100EF5">
      <w:pPr>
        <w:spacing w:after="0" w:line="240" w:lineRule="auto"/>
        <w:ind w:left="1134"/>
        <w:jc w:val="both"/>
        <w:rPr>
          <w:rFonts w:ascii="Verdana" w:hAnsi="Verdana"/>
          <w:i/>
          <w:sz w:val="24"/>
          <w:szCs w:val="24"/>
        </w:rPr>
      </w:pPr>
      <w:r w:rsidRPr="00100EF5">
        <w:rPr>
          <w:rFonts w:ascii="Verdana" w:hAnsi="Verdana"/>
          <w:i/>
          <w:sz w:val="24"/>
          <w:szCs w:val="24"/>
        </w:rPr>
        <w:t xml:space="preserve">XIII - a transferência voluntária de recursos e a concessão de empréstimos, financiamentos, avais e subvenções pela União, incluídas suas instituições financeiras, aos Estados, ao Distrito Federal e aos Municípios em caso de descumprimento das regras gerais de organização e funcionamento dos regimes de previdência dos servidores titulares de cargos efetivos, conforme disposto na lei de que trata o § 23 do art. 40. </w:t>
      </w:r>
    </w:p>
    <w:p w:rsidR="00906C51" w:rsidRPr="00100EF5" w:rsidRDefault="008F2253" w:rsidP="00100EF5">
      <w:pPr>
        <w:spacing w:after="0" w:line="240" w:lineRule="auto"/>
        <w:ind w:left="1134"/>
        <w:jc w:val="both"/>
        <w:rPr>
          <w:rFonts w:ascii="Verdana" w:hAnsi="Verdana"/>
          <w:i/>
          <w:sz w:val="24"/>
          <w:szCs w:val="24"/>
        </w:rPr>
      </w:pPr>
      <w:r w:rsidRPr="00100EF5">
        <w:rPr>
          <w:rFonts w:ascii="Verdana" w:hAnsi="Verdana"/>
          <w:i/>
          <w:sz w:val="24"/>
          <w:szCs w:val="24"/>
        </w:rPr>
        <w:t xml:space="preserve">..................... </w:t>
      </w:r>
    </w:p>
    <w:p w:rsidR="00100EF5" w:rsidRPr="00100EF5" w:rsidRDefault="008F2253" w:rsidP="00100EF5">
      <w:pPr>
        <w:spacing w:after="0" w:line="240" w:lineRule="auto"/>
        <w:ind w:left="1134"/>
        <w:jc w:val="both"/>
        <w:rPr>
          <w:rFonts w:ascii="Verdana" w:hAnsi="Verdana"/>
          <w:i/>
          <w:sz w:val="24"/>
          <w:szCs w:val="24"/>
        </w:rPr>
      </w:pPr>
      <w:r w:rsidRPr="00100EF5">
        <w:rPr>
          <w:rFonts w:ascii="Verdana" w:hAnsi="Verdana"/>
          <w:i/>
          <w:sz w:val="24"/>
          <w:szCs w:val="24"/>
        </w:rPr>
        <w:t xml:space="preserve">§ 4º É permitida a vinculação de receitas próprias geradas pelos impostos a que se referem os art. 155 e art. 156 e dos recursos de que tratam os art. 157, art. 158 e art. 159, inciso I, alíneas “a” e “b”, e inciso II, para a prestação de garantia ou </w:t>
      </w:r>
      <w:r w:rsidR="0017131B" w:rsidRPr="00100EF5">
        <w:rPr>
          <w:rFonts w:ascii="Verdana" w:hAnsi="Verdana"/>
          <w:i/>
          <w:sz w:val="24"/>
          <w:szCs w:val="24"/>
        </w:rPr>
        <w:t>contra garantia</w:t>
      </w:r>
      <w:r w:rsidRPr="00100EF5">
        <w:rPr>
          <w:rFonts w:ascii="Verdana" w:hAnsi="Verdana"/>
          <w:i/>
          <w:sz w:val="24"/>
          <w:szCs w:val="24"/>
        </w:rPr>
        <w:t xml:space="preserve"> à União e para pagamento de débitos para com </w:t>
      </w:r>
      <w:proofErr w:type="spellStart"/>
      <w:r w:rsidRPr="00100EF5">
        <w:rPr>
          <w:rFonts w:ascii="Verdana" w:hAnsi="Verdana"/>
          <w:i/>
          <w:sz w:val="24"/>
          <w:szCs w:val="24"/>
        </w:rPr>
        <w:t>esta</w:t>
      </w:r>
      <w:proofErr w:type="spellEnd"/>
      <w:r w:rsidRPr="00100EF5">
        <w:rPr>
          <w:rFonts w:ascii="Verdana" w:hAnsi="Verdana"/>
          <w:i/>
          <w:sz w:val="24"/>
          <w:szCs w:val="24"/>
        </w:rPr>
        <w:t xml:space="preserve"> e para o pagamento de débitos do ente com o regime de previdência de que trata o art. 40. </w:t>
      </w:r>
    </w:p>
    <w:p w:rsidR="00100EF5" w:rsidRPr="00100EF5" w:rsidRDefault="008F2253" w:rsidP="00100EF5">
      <w:pPr>
        <w:spacing w:after="0" w:line="240" w:lineRule="auto"/>
        <w:ind w:left="1134"/>
        <w:jc w:val="both"/>
        <w:rPr>
          <w:rFonts w:ascii="Verdana" w:hAnsi="Verdana"/>
          <w:i/>
          <w:sz w:val="24"/>
          <w:szCs w:val="24"/>
        </w:rPr>
      </w:pPr>
      <w:r w:rsidRPr="00100EF5">
        <w:rPr>
          <w:rFonts w:ascii="Verdana" w:hAnsi="Verdana"/>
          <w:i/>
          <w:sz w:val="24"/>
          <w:szCs w:val="24"/>
        </w:rPr>
        <w:t xml:space="preserve">........................” (NR) </w:t>
      </w:r>
    </w:p>
    <w:p w:rsidR="0000494D" w:rsidRDefault="0000494D" w:rsidP="00100EF5">
      <w:pPr>
        <w:spacing w:after="0" w:line="240" w:lineRule="auto"/>
        <w:ind w:left="1134"/>
        <w:jc w:val="both"/>
        <w:rPr>
          <w:rFonts w:ascii="Verdana" w:hAnsi="Verdana"/>
          <w:i/>
          <w:sz w:val="24"/>
          <w:szCs w:val="24"/>
        </w:rPr>
      </w:pPr>
    </w:p>
    <w:p w:rsidR="00100EF5" w:rsidRPr="00100EF5" w:rsidRDefault="008F2253" w:rsidP="00100EF5">
      <w:pPr>
        <w:spacing w:after="0" w:line="240" w:lineRule="auto"/>
        <w:ind w:left="1134"/>
        <w:jc w:val="both"/>
        <w:rPr>
          <w:rFonts w:ascii="Verdana" w:hAnsi="Verdana"/>
          <w:i/>
          <w:sz w:val="24"/>
          <w:szCs w:val="24"/>
        </w:rPr>
      </w:pPr>
      <w:r w:rsidRPr="00100EF5">
        <w:rPr>
          <w:rFonts w:ascii="Verdana" w:hAnsi="Verdana"/>
          <w:i/>
          <w:sz w:val="24"/>
          <w:szCs w:val="24"/>
        </w:rPr>
        <w:t xml:space="preserve">“Art. 195. .................. </w:t>
      </w:r>
    </w:p>
    <w:p w:rsidR="00100EF5" w:rsidRPr="00100EF5" w:rsidRDefault="008F2253" w:rsidP="00100EF5">
      <w:pPr>
        <w:spacing w:after="0" w:line="240" w:lineRule="auto"/>
        <w:ind w:left="1134"/>
        <w:jc w:val="both"/>
        <w:rPr>
          <w:rFonts w:ascii="Verdana" w:hAnsi="Verdana"/>
          <w:i/>
          <w:sz w:val="24"/>
          <w:szCs w:val="24"/>
        </w:rPr>
      </w:pPr>
      <w:r w:rsidRPr="00100EF5">
        <w:rPr>
          <w:rFonts w:ascii="Verdana" w:hAnsi="Verdana"/>
          <w:i/>
          <w:sz w:val="24"/>
          <w:szCs w:val="24"/>
        </w:rPr>
        <w:t>I - ....................</w:t>
      </w:r>
    </w:p>
    <w:p w:rsidR="00100EF5" w:rsidRPr="00100EF5" w:rsidRDefault="0000494D" w:rsidP="0000494D">
      <w:pPr>
        <w:pStyle w:val="PargrafodaLista"/>
        <w:spacing w:after="0" w:line="240" w:lineRule="auto"/>
        <w:ind w:left="1134"/>
        <w:jc w:val="both"/>
        <w:rPr>
          <w:rFonts w:ascii="Verdana" w:hAnsi="Verdana"/>
          <w:i/>
          <w:sz w:val="24"/>
          <w:szCs w:val="24"/>
        </w:rPr>
      </w:pPr>
      <w:r>
        <w:rPr>
          <w:rFonts w:ascii="Verdana" w:hAnsi="Verdana"/>
          <w:i/>
          <w:sz w:val="24"/>
          <w:szCs w:val="24"/>
        </w:rPr>
        <w:t xml:space="preserve">a) </w:t>
      </w:r>
      <w:r w:rsidR="008F2253" w:rsidRPr="00100EF5">
        <w:rPr>
          <w:rFonts w:ascii="Verdana" w:hAnsi="Verdana"/>
          <w:i/>
          <w:sz w:val="24"/>
          <w:szCs w:val="24"/>
        </w:rPr>
        <w:t xml:space="preserve">a folha de salários e demais rendimentos do trabalho pagos ou creditados, a qualquer título, à pessoa física que lhe preste serviço de natureza urbana ou rural, mesmo sem vínculo empregatício; </w:t>
      </w:r>
    </w:p>
    <w:p w:rsidR="00100EF5" w:rsidRPr="00100EF5" w:rsidRDefault="008F2253" w:rsidP="00100EF5">
      <w:pPr>
        <w:spacing w:after="0" w:line="240" w:lineRule="auto"/>
        <w:ind w:left="1134"/>
        <w:jc w:val="both"/>
        <w:rPr>
          <w:rFonts w:ascii="Verdana" w:hAnsi="Verdana"/>
          <w:i/>
          <w:sz w:val="24"/>
          <w:szCs w:val="24"/>
        </w:rPr>
      </w:pPr>
      <w:r w:rsidRPr="00100EF5">
        <w:rPr>
          <w:rFonts w:ascii="Verdana" w:hAnsi="Verdana"/>
          <w:i/>
          <w:sz w:val="24"/>
          <w:szCs w:val="24"/>
        </w:rPr>
        <w:t xml:space="preserve">.............. </w:t>
      </w:r>
    </w:p>
    <w:p w:rsidR="00100EF5" w:rsidRPr="00100EF5" w:rsidRDefault="008F2253" w:rsidP="00100EF5">
      <w:pPr>
        <w:spacing w:after="0" w:line="240" w:lineRule="auto"/>
        <w:ind w:left="1134"/>
        <w:jc w:val="both"/>
        <w:rPr>
          <w:rFonts w:ascii="Verdana" w:hAnsi="Verdana"/>
          <w:i/>
          <w:sz w:val="24"/>
          <w:szCs w:val="24"/>
        </w:rPr>
      </w:pPr>
      <w:r w:rsidRPr="00100EF5">
        <w:rPr>
          <w:rFonts w:ascii="Verdana" w:hAnsi="Verdana"/>
          <w:i/>
          <w:sz w:val="24"/>
          <w:szCs w:val="24"/>
        </w:rPr>
        <w:t xml:space="preserve">II - do trabalhador, urbano e rural, e dos demais segurados da previdência social, não incidindo contribuição sobre aposentadoria e pensão concedidas pelo regime geral de previdência social de que trata o art. 201; </w:t>
      </w:r>
    </w:p>
    <w:p w:rsidR="00100EF5" w:rsidRPr="00100EF5" w:rsidRDefault="008F2253" w:rsidP="00100EF5">
      <w:pPr>
        <w:spacing w:after="0" w:line="240" w:lineRule="auto"/>
        <w:ind w:left="1134"/>
        <w:jc w:val="both"/>
        <w:rPr>
          <w:rFonts w:ascii="Verdana" w:hAnsi="Verdana"/>
          <w:i/>
          <w:sz w:val="24"/>
          <w:szCs w:val="24"/>
        </w:rPr>
      </w:pPr>
      <w:r w:rsidRPr="00100EF5">
        <w:rPr>
          <w:rFonts w:ascii="Verdana" w:hAnsi="Verdana"/>
          <w:i/>
          <w:sz w:val="24"/>
          <w:szCs w:val="24"/>
        </w:rPr>
        <w:t xml:space="preserve">................ </w:t>
      </w:r>
    </w:p>
    <w:p w:rsidR="00100EF5" w:rsidRPr="00100EF5" w:rsidRDefault="008F2253" w:rsidP="00100EF5">
      <w:pPr>
        <w:spacing w:after="0" w:line="240" w:lineRule="auto"/>
        <w:ind w:left="1134"/>
        <w:jc w:val="both"/>
        <w:rPr>
          <w:rFonts w:ascii="Verdana" w:hAnsi="Verdana"/>
          <w:i/>
          <w:sz w:val="24"/>
          <w:szCs w:val="24"/>
        </w:rPr>
      </w:pPr>
      <w:r w:rsidRPr="00100EF5">
        <w:rPr>
          <w:rFonts w:ascii="Verdana" w:hAnsi="Verdana"/>
          <w:i/>
          <w:sz w:val="24"/>
          <w:szCs w:val="24"/>
        </w:rPr>
        <w:lastRenderedPageBreak/>
        <w:t xml:space="preserve">§ 8º O produtor, o parceiro, o meeiro e o arrendatário rurais, o extrativista, o pescador artesanal e seus respectivos cônjuges ou companheiros e filhos que exerçam suas atividades em regime de economia familiar, sem empregados permanentes, contribuirão de forma individual para a seguridade social com alíquota favorecida, incidente sobre o limite mínimo do salário de contribuição para o regime geral de previdência social, nos termos e prazos definidos em lei. </w:t>
      </w:r>
    </w:p>
    <w:p w:rsidR="00100EF5" w:rsidRPr="00100EF5" w:rsidRDefault="00F40E2E" w:rsidP="00100EF5">
      <w:pPr>
        <w:spacing w:after="0" w:line="240" w:lineRule="auto"/>
        <w:ind w:left="1134"/>
        <w:jc w:val="both"/>
        <w:rPr>
          <w:rFonts w:ascii="Verdana" w:hAnsi="Verdana"/>
          <w:i/>
          <w:sz w:val="24"/>
          <w:szCs w:val="24"/>
        </w:rPr>
      </w:pPr>
      <w:r>
        <w:rPr>
          <w:rFonts w:ascii="Verdana" w:hAnsi="Verdana"/>
          <w:i/>
          <w:sz w:val="24"/>
          <w:szCs w:val="24"/>
        </w:rPr>
        <w:t>...............” (NR).</w:t>
      </w:r>
    </w:p>
    <w:p w:rsidR="008F2253" w:rsidRPr="00100EF5" w:rsidRDefault="008F2253" w:rsidP="00100EF5">
      <w:pPr>
        <w:spacing w:after="0" w:line="240" w:lineRule="auto"/>
        <w:ind w:left="1134"/>
        <w:jc w:val="both"/>
        <w:rPr>
          <w:rFonts w:ascii="Verdana" w:hAnsi="Verdana" w:cs="Times New Roman"/>
          <w:i/>
          <w:sz w:val="24"/>
          <w:szCs w:val="24"/>
        </w:rPr>
      </w:pPr>
    </w:p>
    <w:p w:rsidR="0000494D" w:rsidRDefault="0000494D"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 xml:space="preserve">Entre </w:t>
      </w:r>
      <w:r w:rsidR="00B853F3">
        <w:rPr>
          <w:rFonts w:ascii="Verdana" w:hAnsi="Verdana" w:cs="Times New Roman"/>
          <w:sz w:val="24"/>
          <w:szCs w:val="24"/>
        </w:rPr>
        <w:t>eles não se encontra o artigo 150, inciso V</w:t>
      </w:r>
      <w:r w:rsidR="00F40E2E">
        <w:rPr>
          <w:rFonts w:ascii="Verdana" w:hAnsi="Verdana" w:cs="Times New Roman"/>
          <w:sz w:val="24"/>
          <w:szCs w:val="24"/>
        </w:rPr>
        <w:t>I, letra “a” e o artigo 195</w:t>
      </w:r>
      <w:r w:rsidR="00B853F3">
        <w:rPr>
          <w:rFonts w:ascii="Verdana" w:hAnsi="Verdana" w:cs="Times New Roman"/>
          <w:sz w:val="24"/>
          <w:szCs w:val="24"/>
        </w:rPr>
        <w:t xml:space="preserve">, § 7º, cuja dicção é a seguinte </w:t>
      </w:r>
      <w:r w:rsidR="0067716D">
        <w:rPr>
          <w:rFonts w:ascii="Verdana" w:hAnsi="Verdana" w:cs="Times New Roman"/>
          <w:sz w:val="24"/>
          <w:szCs w:val="24"/>
        </w:rPr>
        <w:t>para</w:t>
      </w:r>
      <w:r w:rsidR="00B853F3">
        <w:rPr>
          <w:rFonts w:ascii="Verdana" w:hAnsi="Verdana" w:cs="Times New Roman"/>
          <w:sz w:val="24"/>
          <w:szCs w:val="24"/>
        </w:rPr>
        <w:t xml:space="preserve"> ambos os comandos constitucionais:</w:t>
      </w:r>
    </w:p>
    <w:p w:rsidR="00B853F3" w:rsidRPr="00B853F3" w:rsidRDefault="00B853F3" w:rsidP="00B853F3">
      <w:pPr>
        <w:pStyle w:val="NormalWeb"/>
        <w:spacing w:before="0" w:beforeAutospacing="0" w:after="0" w:afterAutospacing="0"/>
        <w:ind w:left="1134"/>
        <w:jc w:val="both"/>
        <w:rPr>
          <w:rFonts w:ascii="Verdana" w:hAnsi="Verdana"/>
          <w:i/>
          <w:color w:val="000000"/>
        </w:rPr>
      </w:pPr>
      <w:r w:rsidRPr="00B853F3">
        <w:rPr>
          <w:rFonts w:ascii="Verdana" w:hAnsi="Verdana" w:cs="Arial"/>
          <w:i/>
          <w:color w:val="000000"/>
        </w:rPr>
        <w:t>“Art. 150. Sem prejuízo de outras garantias asseguradas ao contribuinte, é vedado à União, aos Estados, ao Distrito Federal e aos Municípios:</w:t>
      </w:r>
    </w:p>
    <w:p w:rsidR="00B853F3" w:rsidRPr="00B853F3" w:rsidRDefault="00B853F3" w:rsidP="00B853F3">
      <w:pPr>
        <w:pStyle w:val="NormalWeb"/>
        <w:spacing w:before="0" w:beforeAutospacing="0" w:after="0" w:afterAutospacing="0"/>
        <w:ind w:left="1134"/>
        <w:jc w:val="both"/>
        <w:rPr>
          <w:rFonts w:ascii="Verdana" w:hAnsi="Verdana" w:cs="Arial"/>
          <w:i/>
          <w:color w:val="000000"/>
        </w:rPr>
      </w:pPr>
      <w:r w:rsidRPr="00B853F3">
        <w:rPr>
          <w:rFonts w:ascii="Verdana" w:hAnsi="Verdana" w:cs="Arial"/>
          <w:i/>
          <w:color w:val="000000"/>
        </w:rPr>
        <w:t>...............</w:t>
      </w:r>
    </w:p>
    <w:p w:rsidR="00B853F3" w:rsidRPr="00B853F3" w:rsidRDefault="00B853F3" w:rsidP="00B853F3">
      <w:pPr>
        <w:pStyle w:val="NormalWeb"/>
        <w:spacing w:before="0" w:beforeAutospacing="0" w:after="0" w:afterAutospacing="0"/>
        <w:ind w:left="1134"/>
        <w:jc w:val="both"/>
        <w:rPr>
          <w:rFonts w:ascii="Verdana" w:hAnsi="Verdana"/>
          <w:i/>
          <w:color w:val="000000"/>
        </w:rPr>
      </w:pPr>
      <w:r w:rsidRPr="00B853F3">
        <w:rPr>
          <w:rFonts w:ascii="Verdana" w:hAnsi="Verdana" w:cs="Arial"/>
          <w:i/>
          <w:color w:val="000000"/>
        </w:rPr>
        <w:t>VI - instituir impostos sobre:</w:t>
      </w:r>
    </w:p>
    <w:p w:rsidR="00B853F3" w:rsidRPr="00B853F3" w:rsidRDefault="00B853F3" w:rsidP="00B853F3">
      <w:pPr>
        <w:pStyle w:val="NormalWeb"/>
        <w:spacing w:before="0" w:beforeAutospacing="0" w:after="0" w:afterAutospacing="0"/>
        <w:ind w:left="1134"/>
        <w:jc w:val="both"/>
        <w:rPr>
          <w:rFonts w:ascii="Verdana" w:hAnsi="Verdana" w:cs="Arial"/>
          <w:i/>
          <w:color w:val="000000"/>
        </w:rPr>
      </w:pPr>
      <w:r w:rsidRPr="00B853F3">
        <w:rPr>
          <w:rFonts w:ascii="Verdana" w:hAnsi="Verdana" w:cs="Arial"/>
          <w:i/>
          <w:color w:val="000000"/>
        </w:rPr>
        <w:t>..................</w:t>
      </w:r>
    </w:p>
    <w:p w:rsidR="00B853F3" w:rsidRPr="00B853F3" w:rsidRDefault="00B853F3" w:rsidP="00B853F3">
      <w:pPr>
        <w:pStyle w:val="NormalWeb"/>
        <w:spacing w:before="0" w:beforeAutospacing="0" w:after="0" w:afterAutospacing="0"/>
        <w:ind w:left="1134"/>
        <w:jc w:val="both"/>
        <w:rPr>
          <w:rFonts w:ascii="Verdana" w:hAnsi="Verdana"/>
          <w:i/>
          <w:color w:val="000000"/>
        </w:rPr>
      </w:pPr>
      <w:r w:rsidRPr="00B853F3">
        <w:rPr>
          <w:rFonts w:ascii="Verdana" w:hAnsi="Verdana" w:cs="Arial"/>
          <w:i/>
          <w:color w:val="000000"/>
        </w:rPr>
        <w:t>c) patrimônio, renda ou serviços dos partidos políticos, inclusive suas fundações, das entidades sindicais dos trabalhadores, das instituições de educação e de assistência social, sem fins lucrativos, atendidos os requisitos da lei;</w:t>
      </w:r>
    </w:p>
    <w:p w:rsidR="00B853F3" w:rsidRPr="00B853F3" w:rsidRDefault="00B853F3" w:rsidP="00B853F3">
      <w:pPr>
        <w:pStyle w:val="NormalWeb"/>
        <w:spacing w:before="0" w:beforeAutospacing="0" w:after="0" w:afterAutospacing="0"/>
        <w:ind w:left="1134"/>
        <w:jc w:val="both"/>
        <w:rPr>
          <w:rFonts w:ascii="Verdana" w:hAnsi="Verdana" w:cs="Arial"/>
          <w:i/>
          <w:color w:val="000000"/>
        </w:rPr>
      </w:pPr>
      <w:r w:rsidRPr="00B853F3">
        <w:rPr>
          <w:rFonts w:ascii="Verdana" w:hAnsi="Verdana" w:cs="Arial"/>
          <w:i/>
          <w:color w:val="000000"/>
        </w:rPr>
        <w:t>.............”;</w:t>
      </w:r>
    </w:p>
    <w:p w:rsidR="00B853F3" w:rsidRPr="00B853F3" w:rsidRDefault="00B853F3" w:rsidP="00B853F3">
      <w:pPr>
        <w:pStyle w:val="NormalWeb"/>
        <w:spacing w:before="0" w:beforeAutospacing="0" w:after="0" w:afterAutospacing="0"/>
        <w:ind w:left="1134"/>
        <w:jc w:val="both"/>
        <w:rPr>
          <w:rFonts w:ascii="Verdana" w:hAnsi="Verdana" w:cs="Arial"/>
          <w:i/>
          <w:color w:val="000000"/>
        </w:rPr>
      </w:pPr>
    </w:p>
    <w:p w:rsidR="00B853F3" w:rsidRPr="00B853F3" w:rsidRDefault="00B853F3" w:rsidP="00B853F3">
      <w:pPr>
        <w:pStyle w:val="NormalWeb"/>
        <w:spacing w:before="0" w:beforeAutospacing="0" w:after="0" w:afterAutospacing="0"/>
        <w:ind w:left="1134"/>
        <w:jc w:val="both"/>
        <w:rPr>
          <w:rFonts w:ascii="Verdana" w:hAnsi="Verdana" w:cs="Arial"/>
          <w:i/>
          <w:color w:val="000000"/>
        </w:rPr>
      </w:pPr>
      <w:r w:rsidRPr="00B853F3">
        <w:rPr>
          <w:rFonts w:ascii="Verdana" w:hAnsi="Verdana" w:cs="Arial"/>
          <w:i/>
          <w:color w:val="000000"/>
        </w:rPr>
        <w:t>“Art. 195. .............</w:t>
      </w:r>
    </w:p>
    <w:p w:rsidR="00B853F3" w:rsidRPr="00B853F3" w:rsidRDefault="00B853F3" w:rsidP="00B853F3">
      <w:pPr>
        <w:pStyle w:val="NormalWeb"/>
        <w:spacing w:before="0" w:beforeAutospacing="0" w:after="0" w:afterAutospacing="0"/>
        <w:ind w:left="1134"/>
        <w:jc w:val="both"/>
        <w:rPr>
          <w:rFonts w:ascii="Verdana" w:hAnsi="Verdana"/>
          <w:i/>
          <w:color w:val="000000"/>
        </w:rPr>
      </w:pPr>
      <w:r w:rsidRPr="00B853F3">
        <w:rPr>
          <w:rFonts w:ascii="Verdana" w:hAnsi="Verdana" w:cs="Arial"/>
          <w:i/>
          <w:color w:val="000000"/>
        </w:rPr>
        <w:t>§ 7º São isentas de contribuição para a seguridade social as entidades beneficentes de assistência social que atendam às exigências estabelecidas em lei.</w:t>
      </w:r>
    </w:p>
    <w:p w:rsidR="00B853F3" w:rsidRDefault="00B853F3" w:rsidP="00B853F3">
      <w:pPr>
        <w:pStyle w:val="NormalWeb"/>
        <w:spacing w:before="0" w:beforeAutospacing="0" w:after="0" w:afterAutospacing="0"/>
        <w:ind w:left="1134"/>
        <w:jc w:val="both"/>
        <w:rPr>
          <w:rFonts w:ascii="Arial" w:hAnsi="Arial" w:cs="Arial"/>
          <w:color w:val="000000"/>
          <w:sz w:val="20"/>
          <w:szCs w:val="20"/>
        </w:rPr>
      </w:pPr>
      <w:r w:rsidRPr="00B853F3">
        <w:rPr>
          <w:rFonts w:ascii="Verdana" w:hAnsi="Verdana" w:cs="Arial"/>
          <w:i/>
          <w:color w:val="000000"/>
        </w:rPr>
        <w:t>..............”.</w:t>
      </w:r>
    </w:p>
    <w:p w:rsidR="00B853F3" w:rsidRPr="00B853F3" w:rsidRDefault="00B853F3"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O próprio artigo 195, cuja alteração é proposta, cuida do § 8º</w:t>
      </w:r>
      <w:r w:rsidR="00CB0204">
        <w:rPr>
          <w:rFonts w:ascii="Verdana" w:hAnsi="Verdana" w:cs="Times New Roman"/>
          <w:sz w:val="24"/>
          <w:szCs w:val="24"/>
        </w:rPr>
        <w:t>,</w:t>
      </w:r>
      <w:r>
        <w:rPr>
          <w:rFonts w:ascii="Verdana" w:hAnsi="Verdana" w:cs="Times New Roman"/>
          <w:sz w:val="24"/>
          <w:szCs w:val="24"/>
        </w:rPr>
        <w:t xml:space="preserve"> e não do § 7º, além dos incisos I e II do “caput” do dispositivo.</w:t>
      </w:r>
    </w:p>
    <w:p w:rsidR="00B853F3" w:rsidRDefault="00B853F3"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lastRenderedPageBreak/>
        <w:t>Não há, portanto, qualquer referência às imunidades de impostos e contribuições sociais.</w:t>
      </w:r>
    </w:p>
    <w:p w:rsidR="00B853F3" w:rsidRDefault="00B853F3"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É de se lembrar que, muito embora cuide</w:t>
      </w:r>
      <w:r w:rsidR="00E10378">
        <w:rPr>
          <w:rFonts w:ascii="Verdana" w:hAnsi="Verdana" w:cs="Times New Roman"/>
          <w:sz w:val="24"/>
          <w:szCs w:val="24"/>
        </w:rPr>
        <w:t>,</w:t>
      </w:r>
      <w:r>
        <w:rPr>
          <w:rFonts w:ascii="Verdana" w:hAnsi="Verdana" w:cs="Times New Roman"/>
          <w:sz w:val="24"/>
          <w:szCs w:val="24"/>
        </w:rPr>
        <w:t xml:space="preserve"> o artigo 195, § 7º, de isenções, já decidiu a Suprema Corte</w:t>
      </w:r>
      <w:r w:rsidR="00E10378">
        <w:rPr>
          <w:rFonts w:ascii="Verdana" w:hAnsi="Verdana" w:cs="Times New Roman"/>
          <w:sz w:val="24"/>
          <w:szCs w:val="24"/>
        </w:rPr>
        <w:t>,</w:t>
      </w:r>
      <w:r>
        <w:rPr>
          <w:rFonts w:ascii="Verdana" w:hAnsi="Verdana" w:cs="Times New Roman"/>
          <w:sz w:val="24"/>
          <w:szCs w:val="24"/>
        </w:rPr>
        <w:t xml:space="preserve"> em julgamento pioneiro</w:t>
      </w:r>
      <w:r w:rsidR="00E10378">
        <w:rPr>
          <w:rFonts w:ascii="Verdana" w:hAnsi="Verdana" w:cs="Times New Roman"/>
          <w:sz w:val="24"/>
          <w:szCs w:val="24"/>
        </w:rPr>
        <w:t>,</w:t>
      </w:r>
      <w:r>
        <w:rPr>
          <w:rFonts w:ascii="Verdana" w:hAnsi="Verdana" w:cs="Times New Roman"/>
          <w:sz w:val="24"/>
          <w:szCs w:val="24"/>
        </w:rPr>
        <w:t xml:space="preserve"> que a Constituição não cuida de isenções, mas de imunidades.</w:t>
      </w:r>
    </w:p>
    <w:p w:rsidR="00B853F3" w:rsidRDefault="00543516"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É que das quatro mais conhecidas formas de desoneração tributária (imunidades, isenções, não-incidências e alíquota zero) –deixo de lado as anistias e as remissões--, as imunidades representam vedação absoluta ao poder de tributar, razão pela qual não se confunde com as isenções, renúncia fiscal com objetivo determinado autorizado pelos governos, através de leis.</w:t>
      </w:r>
    </w:p>
    <w:p w:rsidR="00543516" w:rsidRDefault="00543516"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Como a Constituição define direitos, deveres e impedimentos, nas imunidades tributárias estabelece vedação ao poder de</w:t>
      </w:r>
      <w:r w:rsidR="0067716D">
        <w:rPr>
          <w:rFonts w:ascii="Verdana" w:hAnsi="Verdana" w:cs="Times New Roman"/>
          <w:sz w:val="24"/>
          <w:szCs w:val="24"/>
        </w:rPr>
        <w:t xml:space="preserve"> tributar, razão pela qual</w:t>
      </w:r>
      <w:r w:rsidR="00E10378">
        <w:rPr>
          <w:rFonts w:ascii="Verdana" w:hAnsi="Verdana" w:cs="Times New Roman"/>
          <w:sz w:val="24"/>
          <w:szCs w:val="24"/>
        </w:rPr>
        <w:t>,</w:t>
      </w:r>
      <w:r>
        <w:rPr>
          <w:rFonts w:ascii="Verdana" w:hAnsi="Verdana" w:cs="Times New Roman"/>
          <w:sz w:val="24"/>
          <w:szCs w:val="24"/>
        </w:rPr>
        <w:t xml:space="preserve"> quando </w:t>
      </w:r>
      <w:r w:rsidR="0067716D">
        <w:rPr>
          <w:rFonts w:ascii="Verdana" w:hAnsi="Verdana" w:cs="Times New Roman"/>
          <w:sz w:val="24"/>
          <w:szCs w:val="24"/>
        </w:rPr>
        <w:t>se refere</w:t>
      </w:r>
      <w:r>
        <w:rPr>
          <w:rFonts w:ascii="Verdana" w:hAnsi="Verdana" w:cs="Times New Roman"/>
          <w:sz w:val="24"/>
          <w:szCs w:val="24"/>
        </w:rPr>
        <w:t xml:space="preserve"> a </w:t>
      </w:r>
      <w:r w:rsidR="00E10378">
        <w:rPr>
          <w:rFonts w:ascii="Verdana" w:hAnsi="Verdana" w:cs="Times New Roman"/>
          <w:sz w:val="24"/>
          <w:szCs w:val="24"/>
        </w:rPr>
        <w:t>“</w:t>
      </w:r>
      <w:r>
        <w:rPr>
          <w:rFonts w:ascii="Verdana" w:hAnsi="Verdana" w:cs="Times New Roman"/>
          <w:sz w:val="24"/>
          <w:szCs w:val="24"/>
        </w:rPr>
        <w:t>isenções</w:t>
      </w:r>
      <w:r w:rsidR="00E10378">
        <w:rPr>
          <w:rFonts w:ascii="Verdana" w:hAnsi="Verdana" w:cs="Times New Roman"/>
          <w:sz w:val="24"/>
          <w:szCs w:val="24"/>
        </w:rPr>
        <w:t>”</w:t>
      </w:r>
      <w:r>
        <w:rPr>
          <w:rFonts w:ascii="Verdana" w:hAnsi="Verdana" w:cs="Times New Roman"/>
          <w:sz w:val="24"/>
          <w:szCs w:val="24"/>
        </w:rPr>
        <w:t>, de</w:t>
      </w:r>
      <w:r w:rsidR="0067716D">
        <w:rPr>
          <w:rFonts w:ascii="Verdana" w:hAnsi="Verdana" w:cs="Times New Roman"/>
          <w:sz w:val="24"/>
          <w:szCs w:val="24"/>
        </w:rPr>
        <w:t xml:space="preserve"> rigor cuida de imunidades, como</w:t>
      </w:r>
      <w:r>
        <w:rPr>
          <w:rFonts w:ascii="Verdana" w:hAnsi="Verdana" w:cs="Times New Roman"/>
          <w:sz w:val="24"/>
          <w:szCs w:val="24"/>
        </w:rPr>
        <w:t xml:space="preserve"> em relação ao § 7º do art. 195 decidiu </w:t>
      </w:r>
      <w:r w:rsidR="00E10378">
        <w:rPr>
          <w:rFonts w:ascii="Verdana" w:hAnsi="Verdana" w:cs="Times New Roman"/>
          <w:sz w:val="24"/>
          <w:szCs w:val="24"/>
        </w:rPr>
        <w:t xml:space="preserve">o Supremo Tribunal Federal </w:t>
      </w:r>
      <w:r>
        <w:rPr>
          <w:rFonts w:ascii="Verdana" w:hAnsi="Verdana" w:cs="Times New Roman"/>
          <w:sz w:val="24"/>
          <w:szCs w:val="24"/>
        </w:rPr>
        <w:t xml:space="preserve">no </w:t>
      </w:r>
      <w:r w:rsidR="00DC6AE9">
        <w:rPr>
          <w:rFonts w:ascii="Verdana" w:hAnsi="Verdana" w:cs="Times New Roman"/>
          <w:sz w:val="24"/>
          <w:szCs w:val="24"/>
        </w:rPr>
        <w:t>“</w:t>
      </w:r>
      <w:proofErr w:type="spellStart"/>
      <w:r w:rsidR="00E10378" w:rsidRPr="00E10378">
        <w:rPr>
          <w:rFonts w:ascii="Verdana" w:hAnsi="Verdana" w:cs="Times New Roman"/>
          <w:i/>
          <w:sz w:val="24"/>
          <w:szCs w:val="24"/>
        </w:rPr>
        <w:t>leading</w:t>
      </w:r>
      <w:proofErr w:type="spellEnd"/>
      <w:r w:rsidR="00E10378" w:rsidRPr="00E10378">
        <w:rPr>
          <w:rFonts w:ascii="Verdana" w:hAnsi="Verdana" w:cs="Times New Roman"/>
          <w:i/>
          <w:sz w:val="24"/>
          <w:szCs w:val="24"/>
        </w:rPr>
        <w:t xml:space="preserve"> case</w:t>
      </w:r>
      <w:r w:rsidR="00DC6AE9">
        <w:rPr>
          <w:rFonts w:ascii="Verdana" w:hAnsi="Verdana" w:cs="Times New Roman"/>
          <w:i/>
          <w:sz w:val="24"/>
          <w:szCs w:val="24"/>
        </w:rPr>
        <w:t>”</w:t>
      </w:r>
      <w:r w:rsidR="00E10378">
        <w:rPr>
          <w:rFonts w:ascii="Verdana" w:hAnsi="Verdana" w:cs="Times New Roman"/>
          <w:sz w:val="24"/>
          <w:szCs w:val="24"/>
        </w:rPr>
        <w:t xml:space="preserve"> </w:t>
      </w:r>
      <w:r>
        <w:rPr>
          <w:rFonts w:ascii="Verdana" w:hAnsi="Verdana" w:cs="Times New Roman"/>
          <w:sz w:val="24"/>
          <w:szCs w:val="24"/>
        </w:rPr>
        <w:t>da</w:t>
      </w:r>
      <w:r w:rsidR="00E10378">
        <w:rPr>
          <w:rFonts w:ascii="Verdana" w:hAnsi="Verdana" w:cs="Times New Roman"/>
          <w:sz w:val="24"/>
          <w:szCs w:val="24"/>
        </w:rPr>
        <w:t xml:space="preserve"> Associação das Igrejas </w:t>
      </w:r>
      <w:r>
        <w:rPr>
          <w:rFonts w:ascii="Verdana" w:hAnsi="Verdana" w:cs="Times New Roman"/>
          <w:sz w:val="24"/>
          <w:szCs w:val="24"/>
        </w:rPr>
        <w:t>Adventistas</w:t>
      </w:r>
      <w:r w:rsidR="00DC6AE9">
        <w:rPr>
          <w:rFonts w:ascii="Verdana" w:hAnsi="Verdana" w:cs="Times New Roman"/>
          <w:sz w:val="24"/>
          <w:szCs w:val="24"/>
        </w:rPr>
        <w:t xml:space="preserve"> (Igrejas com ação social)</w:t>
      </w:r>
      <w:r>
        <w:rPr>
          <w:rFonts w:ascii="Verdana" w:hAnsi="Verdana" w:cs="Times New Roman"/>
          <w:sz w:val="24"/>
          <w:szCs w:val="24"/>
        </w:rPr>
        <w:t>, que meu escritório patrocinou e perante cuja 1</w:t>
      </w:r>
      <w:r>
        <w:rPr>
          <w:rFonts w:ascii="Arial" w:hAnsi="Arial" w:cs="Arial"/>
          <w:sz w:val="24"/>
          <w:szCs w:val="24"/>
        </w:rPr>
        <w:t>ª</w:t>
      </w:r>
      <w:r>
        <w:rPr>
          <w:rFonts w:ascii="Verdana" w:hAnsi="Verdana" w:cs="Times New Roman"/>
          <w:sz w:val="24"/>
          <w:szCs w:val="24"/>
        </w:rPr>
        <w:t xml:space="preserve"> Turma sustentei oralmente</w:t>
      </w:r>
      <w:r w:rsidR="00E10378">
        <w:rPr>
          <w:rFonts w:ascii="Verdana" w:hAnsi="Verdana" w:cs="Times New Roman"/>
          <w:sz w:val="24"/>
          <w:szCs w:val="24"/>
        </w:rPr>
        <w:t>, em 1995</w:t>
      </w:r>
      <w:r>
        <w:rPr>
          <w:rFonts w:ascii="Verdana" w:hAnsi="Verdana" w:cs="Times New Roman"/>
          <w:sz w:val="24"/>
          <w:szCs w:val="24"/>
        </w:rPr>
        <w:t>.</w:t>
      </w:r>
    </w:p>
    <w:p w:rsidR="00543516" w:rsidRDefault="00543516"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lastRenderedPageBreak/>
        <w:t>Leia-se daquela decisão a ementa, que transcrevo:</w:t>
      </w:r>
    </w:p>
    <w:p w:rsidR="00FE5EA4" w:rsidRPr="00C63860" w:rsidRDefault="00FE5EA4" w:rsidP="00FE5EA4">
      <w:pPr>
        <w:spacing w:after="0" w:line="240" w:lineRule="auto"/>
        <w:ind w:left="1134"/>
        <w:jc w:val="both"/>
        <w:rPr>
          <w:rFonts w:ascii="Verdana" w:hAnsi="Verdana" w:cs="Times New Roman"/>
          <w:i/>
          <w:sz w:val="24"/>
          <w:szCs w:val="24"/>
        </w:rPr>
      </w:pPr>
      <w:r w:rsidRPr="00C63860">
        <w:rPr>
          <w:rFonts w:ascii="Verdana" w:hAnsi="Verdana" w:cs="Times New Roman"/>
          <w:i/>
          <w:sz w:val="24"/>
          <w:szCs w:val="24"/>
        </w:rPr>
        <w:t>“RECURSO ORD. EM MANDADO DE SEGURANÇA N. 22.192-9 DISTRITO FEDERAL</w:t>
      </w:r>
    </w:p>
    <w:p w:rsidR="00FE5EA4" w:rsidRPr="00C63860" w:rsidRDefault="00FE5EA4" w:rsidP="00FE5EA4">
      <w:pPr>
        <w:spacing w:after="0" w:line="240" w:lineRule="auto"/>
        <w:ind w:left="1134"/>
        <w:jc w:val="both"/>
        <w:rPr>
          <w:rFonts w:ascii="Verdana" w:hAnsi="Verdana" w:cs="Times New Roman"/>
          <w:i/>
          <w:sz w:val="24"/>
          <w:szCs w:val="24"/>
        </w:rPr>
      </w:pPr>
      <w:r w:rsidRPr="00C63860">
        <w:rPr>
          <w:rFonts w:ascii="Verdana" w:hAnsi="Verdana" w:cs="Times New Roman"/>
          <w:i/>
          <w:sz w:val="24"/>
          <w:szCs w:val="24"/>
        </w:rPr>
        <w:t>RELATOR:</w:t>
      </w:r>
      <w:r w:rsidRPr="00C63860">
        <w:rPr>
          <w:rFonts w:ascii="Verdana" w:hAnsi="Verdana" w:cs="Times New Roman"/>
          <w:i/>
          <w:sz w:val="24"/>
          <w:szCs w:val="24"/>
        </w:rPr>
        <w:tab/>
        <w:t>MIN. CELSO DE MELLO</w:t>
      </w:r>
    </w:p>
    <w:p w:rsidR="00FE5EA4" w:rsidRPr="00C63860" w:rsidRDefault="00FE5EA4" w:rsidP="00FE5EA4">
      <w:pPr>
        <w:spacing w:after="0" w:line="240" w:lineRule="auto"/>
        <w:ind w:left="1134"/>
        <w:jc w:val="both"/>
        <w:rPr>
          <w:rFonts w:ascii="Verdana" w:hAnsi="Verdana" w:cs="Times New Roman"/>
          <w:i/>
          <w:sz w:val="24"/>
          <w:szCs w:val="24"/>
        </w:rPr>
      </w:pPr>
      <w:r w:rsidRPr="00C63860">
        <w:rPr>
          <w:rFonts w:ascii="Verdana" w:hAnsi="Verdana" w:cs="Times New Roman"/>
          <w:i/>
          <w:sz w:val="24"/>
          <w:szCs w:val="24"/>
        </w:rPr>
        <w:t xml:space="preserve">RECORRENTE: ASSOCIAÇÃO PAULISTA DA IGREJA ADVENTISTA DO SÉTIMO DIA </w:t>
      </w:r>
    </w:p>
    <w:p w:rsidR="00FE5EA4" w:rsidRPr="00C63860" w:rsidRDefault="00FE5EA4" w:rsidP="00FE5EA4">
      <w:pPr>
        <w:spacing w:after="0" w:line="240" w:lineRule="auto"/>
        <w:ind w:left="1134"/>
        <w:jc w:val="both"/>
        <w:rPr>
          <w:rFonts w:ascii="Verdana" w:hAnsi="Verdana" w:cs="Times New Roman"/>
          <w:i/>
          <w:sz w:val="24"/>
          <w:szCs w:val="24"/>
        </w:rPr>
      </w:pPr>
      <w:r w:rsidRPr="00C63860">
        <w:rPr>
          <w:rFonts w:ascii="Verdana" w:hAnsi="Verdana" w:cs="Times New Roman"/>
          <w:i/>
          <w:sz w:val="24"/>
          <w:szCs w:val="24"/>
        </w:rPr>
        <w:t>ADVOGADOS: IVES GANDRA DA SILVA MARTINS E OUTROS</w:t>
      </w:r>
    </w:p>
    <w:p w:rsidR="00FE5EA4" w:rsidRPr="00C63860" w:rsidRDefault="00FE5EA4" w:rsidP="00FE5EA4">
      <w:pPr>
        <w:spacing w:after="0" w:line="240" w:lineRule="auto"/>
        <w:ind w:left="1134"/>
        <w:jc w:val="both"/>
        <w:rPr>
          <w:rFonts w:ascii="Verdana" w:hAnsi="Verdana" w:cs="Times New Roman"/>
          <w:i/>
          <w:sz w:val="24"/>
          <w:szCs w:val="24"/>
        </w:rPr>
      </w:pPr>
      <w:r w:rsidRPr="00C63860">
        <w:rPr>
          <w:rFonts w:ascii="Verdana" w:hAnsi="Verdana" w:cs="Times New Roman"/>
          <w:i/>
          <w:sz w:val="24"/>
          <w:szCs w:val="24"/>
        </w:rPr>
        <w:t>RECORRIDA: UNIÃO FEDERAL</w:t>
      </w:r>
    </w:p>
    <w:p w:rsidR="00FE5EA4" w:rsidRPr="00C63860" w:rsidRDefault="00FE5EA4" w:rsidP="00FE5EA4">
      <w:pPr>
        <w:spacing w:after="0" w:line="240" w:lineRule="auto"/>
        <w:ind w:left="1134"/>
        <w:jc w:val="both"/>
        <w:rPr>
          <w:rFonts w:ascii="Verdana" w:hAnsi="Verdana" w:cs="Times New Roman"/>
          <w:i/>
          <w:sz w:val="24"/>
          <w:szCs w:val="24"/>
        </w:rPr>
      </w:pPr>
      <w:r w:rsidRPr="00C63860">
        <w:rPr>
          <w:rFonts w:ascii="Verdana" w:hAnsi="Verdana" w:cs="Times New Roman"/>
          <w:i/>
          <w:sz w:val="24"/>
          <w:szCs w:val="24"/>
        </w:rPr>
        <w:t>ADVOGADO: ADVOGADO - GERAL DA UNIÃO</w:t>
      </w:r>
    </w:p>
    <w:p w:rsidR="00FE5EA4" w:rsidRPr="00C63860" w:rsidRDefault="00FE5EA4" w:rsidP="00FE5EA4">
      <w:pPr>
        <w:spacing w:after="0" w:line="240" w:lineRule="auto"/>
        <w:ind w:left="1134"/>
        <w:jc w:val="both"/>
        <w:rPr>
          <w:rFonts w:ascii="Verdana" w:hAnsi="Verdana" w:cs="Times New Roman"/>
          <w:i/>
          <w:sz w:val="24"/>
          <w:szCs w:val="24"/>
        </w:rPr>
      </w:pPr>
    </w:p>
    <w:p w:rsidR="00FE5EA4" w:rsidRPr="00C63860" w:rsidRDefault="00FE5EA4" w:rsidP="00FE5EA4">
      <w:pPr>
        <w:spacing w:after="0" w:line="240" w:lineRule="auto"/>
        <w:ind w:left="1134"/>
        <w:jc w:val="both"/>
        <w:rPr>
          <w:rFonts w:ascii="Verdana" w:hAnsi="Verdana" w:cs="Times New Roman"/>
          <w:i/>
          <w:sz w:val="24"/>
          <w:szCs w:val="24"/>
        </w:rPr>
      </w:pPr>
      <w:r w:rsidRPr="00C63860">
        <w:rPr>
          <w:rFonts w:ascii="Verdana" w:hAnsi="Verdana" w:cs="Times New Roman"/>
          <w:i/>
          <w:sz w:val="24"/>
          <w:szCs w:val="24"/>
        </w:rPr>
        <w:t>E M E NT A: MANDADO DE SEGURANÇA - CONTRIBUIÇÃO PREVIDENCIÁRIA - QUOTA PATRONAL - ENTIDADE DE FINS ASSISTENCIAIS, FILANTRÓPICOS E EDUCACIONAIS - IMUNIDADE (CF, ART. 195, § 70) - RECURSO CONHECIDO E PROVIDO.</w:t>
      </w:r>
    </w:p>
    <w:p w:rsidR="00FE5EA4" w:rsidRPr="00C63860" w:rsidRDefault="00FE5EA4" w:rsidP="00FE5EA4">
      <w:pPr>
        <w:spacing w:after="0" w:line="240" w:lineRule="auto"/>
        <w:ind w:left="1134"/>
        <w:jc w:val="both"/>
        <w:rPr>
          <w:rFonts w:ascii="Verdana" w:hAnsi="Verdana" w:cs="Times New Roman"/>
          <w:i/>
          <w:sz w:val="24"/>
          <w:szCs w:val="24"/>
        </w:rPr>
      </w:pPr>
    </w:p>
    <w:p w:rsidR="00FE5EA4" w:rsidRPr="00C63860" w:rsidRDefault="00FE5EA4" w:rsidP="00FE5EA4">
      <w:pPr>
        <w:spacing w:after="0" w:line="240" w:lineRule="auto"/>
        <w:ind w:left="1134"/>
        <w:jc w:val="both"/>
        <w:rPr>
          <w:rFonts w:ascii="Verdana" w:hAnsi="Verdana" w:cs="Times New Roman"/>
          <w:i/>
          <w:sz w:val="24"/>
          <w:szCs w:val="24"/>
        </w:rPr>
      </w:pPr>
      <w:r w:rsidRPr="00C63860">
        <w:rPr>
          <w:rFonts w:ascii="Verdana" w:hAnsi="Verdana" w:cs="Times New Roman"/>
          <w:i/>
          <w:sz w:val="24"/>
          <w:szCs w:val="24"/>
        </w:rPr>
        <w:t xml:space="preserve">- A Associação Paulista da </w:t>
      </w:r>
      <w:proofErr w:type="spellStart"/>
      <w:r w:rsidRPr="00C63860">
        <w:rPr>
          <w:rFonts w:ascii="Verdana" w:hAnsi="Verdana" w:cs="Times New Roman"/>
          <w:i/>
          <w:sz w:val="24"/>
          <w:szCs w:val="24"/>
        </w:rPr>
        <w:t>Iqreja</w:t>
      </w:r>
      <w:proofErr w:type="spellEnd"/>
      <w:r w:rsidRPr="00C63860">
        <w:rPr>
          <w:rFonts w:ascii="Verdana" w:hAnsi="Verdana" w:cs="Times New Roman"/>
          <w:i/>
          <w:sz w:val="24"/>
          <w:szCs w:val="24"/>
        </w:rPr>
        <w:t xml:space="preserve"> Adventista do Sétimo Dia, por qualificar-se como entidade beneficente de assistência social - e por também atender, de modo integral, às exigências estabelecidas em lei - tem direito irrecusável ao benefício extraordinário da imunidade subjetiva relativa às contribuições pertinentes à seguridade social.</w:t>
      </w:r>
    </w:p>
    <w:p w:rsidR="00FE5EA4" w:rsidRPr="0067716D" w:rsidRDefault="00FE5EA4" w:rsidP="00FE5EA4">
      <w:pPr>
        <w:spacing w:after="0" w:line="240" w:lineRule="auto"/>
        <w:ind w:left="1134"/>
        <w:jc w:val="both"/>
        <w:rPr>
          <w:rFonts w:ascii="Verdana" w:hAnsi="Verdana" w:cs="Times New Roman"/>
          <w:i/>
          <w:sz w:val="24"/>
          <w:szCs w:val="24"/>
          <w:u w:val="single"/>
        </w:rPr>
      </w:pPr>
      <w:r w:rsidRPr="00C63860">
        <w:rPr>
          <w:rFonts w:ascii="Verdana" w:hAnsi="Verdana" w:cs="Times New Roman"/>
          <w:i/>
          <w:sz w:val="24"/>
          <w:szCs w:val="24"/>
        </w:rPr>
        <w:t xml:space="preserve">- </w:t>
      </w:r>
      <w:r w:rsidRPr="0067716D">
        <w:rPr>
          <w:rFonts w:ascii="Verdana" w:hAnsi="Verdana" w:cs="Times New Roman"/>
          <w:i/>
          <w:sz w:val="24"/>
          <w:szCs w:val="24"/>
          <w:u w:val="single"/>
        </w:rPr>
        <w:t>A cláusula inscrita no art. 195, § 7º, da Carta Política - não obstante referir-se impropriamente à isenção de contribuição para a seguridade social -, contemplou as entidades beneficentes de assistência social com o favor constitucional da imunidade tributária, desde que por elas preenchidos os requisitos fixados em lei.</w:t>
      </w:r>
    </w:p>
    <w:p w:rsidR="00FE5EA4" w:rsidRPr="0067716D" w:rsidRDefault="00FE5EA4" w:rsidP="00FE5EA4">
      <w:pPr>
        <w:spacing w:after="0" w:line="240" w:lineRule="auto"/>
        <w:ind w:left="1134"/>
        <w:jc w:val="both"/>
        <w:rPr>
          <w:rFonts w:ascii="Verdana" w:hAnsi="Verdana" w:cs="Times New Roman"/>
          <w:i/>
          <w:sz w:val="24"/>
          <w:szCs w:val="24"/>
          <w:u w:val="single"/>
        </w:rPr>
      </w:pPr>
      <w:r w:rsidRPr="0067716D">
        <w:rPr>
          <w:rFonts w:ascii="Verdana" w:hAnsi="Verdana" w:cs="Times New Roman"/>
          <w:i/>
          <w:sz w:val="24"/>
          <w:szCs w:val="24"/>
          <w:u w:val="single"/>
        </w:rPr>
        <w:t xml:space="preserve">A jurisprudência constitucional do Supremo Tribunal Federal já identificou, na cláusula inscrita no art. 195, § 7°, da Constituição da República, a existência de uma típica garantia de imunidade (e no de </w:t>
      </w:r>
      <w:r w:rsidR="00DC6AE9">
        <w:rPr>
          <w:rFonts w:ascii="Verdana" w:hAnsi="Verdana" w:cs="Times New Roman"/>
          <w:i/>
          <w:sz w:val="24"/>
          <w:szCs w:val="24"/>
          <w:u w:val="single"/>
        </w:rPr>
        <w:t>simples isenção) estabeleci</w:t>
      </w:r>
      <w:r w:rsidRPr="0067716D">
        <w:rPr>
          <w:rFonts w:ascii="Verdana" w:hAnsi="Verdana" w:cs="Times New Roman"/>
          <w:i/>
          <w:sz w:val="24"/>
          <w:szCs w:val="24"/>
          <w:u w:val="single"/>
        </w:rPr>
        <w:t>da em favor das entidades beneficentes de assistência social. Precedente: RTJ 137/965.</w:t>
      </w:r>
    </w:p>
    <w:p w:rsidR="00FE5EA4" w:rsidRPr="00C63860" w:rsidRDefault="00FE5EA4" w:rsidP="00FE5EA4">
      <w:pPr>
        <w:spacing w:after="0" w:line="240" w:lineRule="auto"/>
        <w:ind w:left="1134"/>
        <w:jc w:val="both"/>
        <w:rPr>
          <w:rFonts w:ascii="Verdana" w:hAnsi="Verdana" w:cs="Times New Roman"/>
          <w:i/>
          <w:sz w:val="24"/>
          <w:szCs w:val="24"/>
        </w:rPr>
      </w:pPr>
      <w:r w:rsidRPr="00C63860">
        <w:rPr>
          <w:rFonts w:ascii="Verdana" w:hAnsi="Verdana" w:cs="Times New Roman"/>
          <w:i/>
          <w:sz w:val="24"/>
          <w:szCs w:val="24"/>
        </w:rPr>
        <w:t xml:space="preserve">- Tratando-se de imunidade - que decorre, em função de sua natureza mesma, do próprio texto constitucional -, revela-se evidente a absoluta impossibilidade jurídica de a autoridade </w:t>
      </w:r>
      <w:r w:rsidRPr="00C63860">
        <w:rPr>
          <w:rFonts w:ascii="Verdana" w:hAnsi="Verdana" w:cs="Times New Roman"/>
          <w:i/>
          <w:sz w:val="24"/>
          <w:szCs w:val="24"/>
        </w:rPr>
        <w:lastRenderedPageBreak/>
        <w:t>executiva, mediante deliberação de índole administrativa, restringir a eficácia do preceito inscrito no art. 195, § 7°, da Carta Política, para, em função de exegese que claramente distorce a teleologia da prerrogativ</w:t>
      </w:r>
      <w:r w:rsidR="00DC6AE9">
        <w:rPr>
          <w:rFonts w:ascii="Verdana" w:hAnsi="Verdana" w:cs="Times New Roman"/>
          <w:i/>
          <w:sz w:val="24"/>
          <w:szCs w:val="24"/>
        </w:rPr>
        <w:t>a fundamental em referência, neg</w:t>
      </w:r>
      <w:r w:rsidRPr="00C63860">
        <w:rPr>
          <w:rFonts w:ascii="Verdana" w:hAnsi="Verdana" w:cs="Times New Roman"/>
          <w:i/>
          <w:sz w:val="24"/>
          <w:szCs w:val="24"/>
        </w:rPr>
        <w:t>ar, à entidade beneficente de assistência social que satisfaz os requisitos da lei, o benefício que lhe é assegurado no mais elevado plano normativo.</w:t>
      </w:r>
    </w:p>
    <w:p w:rsidR="00FE5EA4" w:rsidRPr="00C63860" w:rsidRDefault="00FE5EA4" w:rsidP="00FE5EA4">
      <w:pPr>
        <w:spacing w:after="0" w:line="240" w:lineRule="auto"/>
        <w:ind w:left="1134"/>
        <w:jc w:val="both"/>
        <w:rPr>
          <w:rFonts w:ascii="Verdana" w:hAnsi="Verdana" w:cs="Times New Roman"/>
          <w:i/>
          <w:sz w:val="24"/>
          <w:szCs w:val="24"/>
        </w:rPr>
      </w:pPr>
    </w:p>
    <w:p w:rsidR="00FE5EA4" w:rsidRPr="00C63860" w:rsidRDefault="00FE5EA4" w:rsidP="00FE5EA4">
      <w:pPr>
        <w:spacing w:after="0" w:line="240" w:lineRule="auto"/>
        <w:ind w:left="1134"/>
        <w:jc w:val="both"/>
        <w:rPr>
          <w:rFonts w:ascii="Verdana" w:hAnsi="Verdana" w:cs="Times New Roman"/>
          <w:i/>
          <w:sz w:val="24"/>
          <w:szCs w:val="24"/>
        </w:rPr>
      </w:pPr>
      <w:r w:rsidRPr="00C63860">
        <w:rPr>
          <w:rFonts w:ascii="Verdana" w:hAnsi="Verdana" w:cs="Times New Roman"/>
          <w:i/>
          <w:sz w:val="24"/>
          <w:szCs w:val="24"/>
        </w:rPr>
        <w:t>ACÓRDÃO:</w:t>
      </w:r>
    </w:p>
    <w:p w:rsidR="00FE5EA4" w:rsidRPr="00C63860" w:rsidRDefault="00FE5EA4" w:rsidP="00FE5EA4">
      <w:pPr>
        <w:spacing w:after="0" w:line="240" w:lineRule="auto"/>
        <w:ind w:left="1134"/>
        <w:jc w:val="both"/>
        <w:rPr>
          <w:rFonts w:ascii="Verdana" w:hAnsi="Verdana" w:cs="Times New Roman"/>
          <w:i/>
          <w:sz w:val="24"/>
          <w:szCs w:val="24"/>
        </w:rPr>
      </w:pPr>
      <w:r w:rsidRPr="00C63860">
        <w:rPr>
          <w:rFonts w:ascii="Verdana" w:hAnsi="Verdana" w:cs="Times New Roman"/>
          <w:i/>
          <w:sz w:val="24"/>
          <w:szCs w:val="24"/>
        </w:rPr>
        <w:t>Vistos, relatados e discutidos estes autos, acordam os Ministros do Supremo Tribunal Federal, em Primeira Turma, na conformidade da ata de julgamentos e das notas taquigráficas, por unanimidade de votos, em rejeitar a preliminar e dar provimento ao recurso em mandado de segurança.</w:t>
      </w:r>
    </w:p>
    <w:p w:rsidR="00FE5EA4" w:rsidRPr="00C63860" w:rsidRDefault="00FE5EA4" w:rsidP="00FE5EA4">
      <w:pPr>
        <w:spacing w:after="0" w:line="240" w:lineRule="auto"/>
        <w:ind w:left="1134"/>
        <w:jc w:val="both"/>
        <w:rPr>
          <w:rFonts w:ascii="Verdana" w:hAnsi="Verdana" w:cs="Times New Roman"/>
          <w:i/>
          <w:sz w:val="24"/>
          <w:szCs w:val="24"/>
        </w:rPr>
      </w:pPr>
      <w:r w:rsidRPr="00C63860">
        <w:rPr>
          <w:rFonts w:ascii="Verdana" w:hAnsi="Verdana" w:cs="Times New Roman"/>
          <w:i/>
          <w:sz w:val="24"/>
          <w:szCs w:val="24"/>
        </w:rPr>
        <w:t>Brasília, 28 de novembro de 1995.</w:t>
      </w:r>
    </w:p>
    <w:p w:rsidR="00FE5EA4" w:rsidRPr="00C63860" w:rsidRDefault="00FE5EA4" w:rsidP="00FE5EA4">
      <w:pPr>
        <w:spacing w:after="0" w:line="240" w:lineRule="auto"/>
        <w:ind w:left="1134"/>
        <w:jc w:val="both"/>
        <w:rPr>
          <w:rFonts w:ascii="Verdana" w:hAnsi="Verdana" w:cs="Times New Roman"/>
          <w:i/>
          <w:sz w:val="24"/>
          <w:szCs w:val="24"/>
        </w:rPr>
      </w:pPr>
      <w:r w:rsidRPr="00C63860">
        <w:rPr>
          <w:rFonts w:ascii="Verdana" w:hAnsi="Verdana" w:cs="Times New Roman"/>
          <w:i/>
          <w:sz w:val="24"/>
          <w:szCs w:val="24"/>
        </w:rPr>
        <w:t>MOREIRA ALVES - PRESIDENTE</w:t>
      </w:r>
    </w:p>
    <w:p w:rsidR="00543516" w:rsidRPr="00C63860" w:rsidRDefault="00FE5EA4" w:rsidP="00C63860">
      <w:pPr>
        <w:spacing w:after="0" w:line="240" w:lineRule="auto"/>
        <w:ind w:left="1134"/>
        <w:jc w:val="both"/>
        <w:rPr>
          <w:rFonts w:ascii="Verdana" w:hAnsi="Verdana" w:cs="Times New Roman"/>
          <w:i/>
          <w:sz w:val="24"/>
          <w:szCs w:val="24"/>
        </w:rPr>
      </w:pPr>
      <w:r w:rsidRPr="00C63860">
        <w:rPr>
          <w:rFonts w:ascii="Verdana" w:hAnsi="Verdana" w:cs="Times New Roman"/>
          <w:i/>
          <w:sz w:val="24"/>
          <w:szCs w:val="24"/>
        </w:rPr>
        <w:t>CELSO DE MELLO – RELATOR”</w:t>
      </w:r>
      <w:r w:rsidR="0067716D">
        <w:rPr>
          <w:rFonts w:ascii="Verdana" w:hAnsi="Verdana" w:cs="Times New Roman"/>
          <w:i/>
          <w:sz w:val="24"/>
          <w:szCs w:val="24"/>
        </w:rPr>
        <w:t xml:space="preserve"> (grifos meus) </w:t>
      </w:r>
      <w:r w:rsidR="00C63860" w:rsidRPr="00C63860">
        <w:rPr>
          <w:rFonts w:ascii="Verdana" w:hAnsi="Verdana" w:cs="Times New Roman"/>
          <w:i/>
          <w:sz w:val="24"/>
          <w:szCs w:val="24"/>
        </w:rPr>
        <w:t xml:space="preserve"> </w:t>
      </w:r>
      <w:r w:rsidR="0044208E" w:rsidRPr="00C63860">
        <w:rPr>
          <w:rStyle w:val="Refdenotaderodap"/>
          <w:rFonts w:ascii="Verdana" w:hAnsi="Verdana" w:cs="Times New Roman"/>
          <w:i/>
          <w:sz w:val="24"/>
          <w:szCs w:val="24"/>
        </w:rPr>
        <w:footnoteReference w:id="1"/>
      </w:r>
      <w:r w:rsidR="0044208E" w:rsidRPr="00C63860">
        <w:rPr>
          <w:rFonts w:ascii="Verdana" w:hAnsi="Verdana" w:cs="Times New Roman"/>
          <w:i/>
          <w:sz w:val="24"/>
          <w:szCs w:val="24"/>
        </w:rPr>
        <w:t>.</w:t>
      </w:r>
    </w:p>
    <w:p w:rsidR="0044208E" w:rsidRDefault="0044208E"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 xml:space="preserve">Desta forma, não há como pretender considerar que as desonerações </w:t>
      </w:r>
      <w:r w:rsidR="00DA1CDC">
        <w:rPr>
          <w:rFonts w:ascii="Verdana" w:hAnsi="Verdana" w:cs="Times New Roman"/>
          <w:sz w:val="24"/>
          <w:szCs w:val="24"/>
        </w:rPr>
        <w:t>que constitua</w:t>
      </w:r>
      <w:r>
        <w:rPr>
          <w:rFonts w:ascii="Verdana" w:hAnsi="Verdana" w:cs="Times New Roman"/>
          <w:sz w:val="24"/>
          <w:szCs w:val="24"/>
        </w:rPr>
        <w:t>m vedações ao poder de tributar</w:t>
      </w:r>
      <w:r w:rsidR="00DA1CDC">
        <w:rPr>
          <w:rFonts w:ascii="Verdana" w:hAnsi="Verdana" w:cs="Times New Roman"/>
          <w:sz w:val="24"/>
          <w:szCs w:val="24"/>
        </w:rPr>
        <w:t xml:space="preserve"> (imunidades), confunda</w:t>
      </w:r>
      <w:r>
        <w:rPr>
          <w:rFonts w:ascii="Verdana" w:hAnsi="Verdana" w:cs="Times New Roman"/>
          <w:sz w:val="24"/>
          <w:szCs w:val="24"/>
        </w:rPr>
        <w:t>m-se com isenções, não-incidências ou alíquotas zero que estão no poder de tributar</w:t>
      </w:r>
      <w:r w:rsidR="00E10378">
        <w:rPr>
          <w:rFonts w:ascii="Verdana" w:hAnsi="Verdana" w:cs="Times New Roman"/>
          <w:sz w:val="24"/>
          <w:szCs w:val="24"/>
        </w:rPr>
        <w:t xml:space="preserve"> do legislador ordinário</w:t>
      </w:r>
      <w:r>
        <w:rPr>
          <w:rFonts w:ascii="Verdana" w:hAnsi="Verdana" w:cs="Times New Roman"/>
          <w:sz w:val="24"/>
          <w:szCs w:val="24"/>
        </w:rPr>
        <w:t xml:space="preserve">, mas, por critérios de </w:t>
      </w:r>
      <w:r>
        <w:rPr>
          <w:rFonts w:ascii="Verdana" w:hAnsi="Verdana" w:cs="Times New Roman"/>
          <w:sz w:val="24"/>
          <w:szCs w:val="24"/>
        </w:rPr>
        <w:lastRenderedPageBreak/>
        <w:t xml:space="preserve">oportunidade ou </w:t>
      </w:r>
      <w:r w:rsidR="00E10378">
        <w:rPr>
          <w:rFonts w:ascii="Verdana" w:hAnsi="Verdana" w:cs="Times New Roman"/>
          <w:sz w:val="24"/>
          <w:szCs w:val="24"/>
        </w:rPr>
        <w:t>conveniência</w:t>
      </w:r>
      <w:r>
        <w:rPr>
          <w:rFonts w:ascii="Verdana" w:hAnsi="Verdana" w:cs="Times New Roman"/>
          <w:sz w:val="24"/>
          <w:szCs w:val="24"/>
        </w:rPr>
        <w:t>, o po</w:t>
      </w:r>
      <w:r w:rsidR="00DA1CDC">
        <w:rPr>
          <w:rFonts w:ascii="Verdana" w:hAnsi="Verdana" w:cs="Times New Roman"/>
          <w:sz w:val="24"/>
          <w:szCs w:val="24"/>
        </w:rPr>
        <w:t>der tributante decide</w:t>
      </w:r>
      <w:r>
        <w:rPr>
          <w:rFonts w:ascii="Verdana" w:hAnsi="Verdana" w:cs="Times New Roman"/>
          <w:sz w:val="24"/>
          <w:szCs w:val="24"/>
        </w:rPr>
        <w:t xml:space="preserve"> renunciar à imposição, p</w:t>
      </w:r>
      <w:r w:rsidR="00DC6AE9">
        <w:rPr>
          <w:rFonts w:ascii="Verdana" w:hAnsi="Verdana" w:cs="Times New Roman"/>
          <w:sz w:val="24"/>
          <w:szCs w:val="24"/>
        </w:rPr>
        <w:t>el</w:t>
      </w:r>
      <w:r>
        <w:rPr>
          <w:rFonts w:ascii="Verdana" w:hAnsi="Verdana" w:cs="Times New Roman"/>
          <w:sz w:val="24"/>
          <w:szCs w:val="24"/>
        </w:rPr>
        <w:t>o</w:t>
      </w:r>
      <w:r w:rsidR="00DC6AE9">
        <w:rPr>
          <w:rFonts w:ascii="Verdana" w:hAnsi="Verdana" w:cs="Times New Roman"/>
          <w:sz w:val="24"/>
          <w:szCs w:val="24"/>
        </w:rPr>
        <w:t>s mais</w:t>
      </w:r>
      <w:r>
        <w:rPr>
          <w:rFonts w:ascii="Verdana" w:hAnsi="Verdana" w:cs="Times New Roman"/>
          <w:sz w:val="24"/>
          <w:szCs w:val="24"/>
        </w:rPr>
        <w:t xml:space="preserve"> variados motivos </w:t>
      </w:r>
      <w:r>
        <w:rPr>
          <w:rStyle w:val="Refdenotaderodap"/>
          <w:rFonts w:ascii="Verdana" w:hAnsi="Verdana" w:cs="Times New Roman"/>
          <w:sz w:val="24"/>
          <w:szCs w:val="24"/>
        </w:rPr>
        <w:footnoteReference w:id="2"/>
      </w:r>
      <w:r>
        <w:rPr>
          <w:rFonts w:ascii="Verdana" w:hAnsi="Verdana" w:cs="Times New Roman"/>
          <w:sz w:val="24"/>
          <w:szCs w:val="24"/>
        </w:rPr>
        <w:t>.</w:t>
      </w:r>
    </w:p>
    <w:p w:rsidR="00731FB3" w:rsidRDefault="0044208E"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lastRenderedPageBreak/>
        <w:t>Já escrevi sobre a matéria que:</w:t>
      </w:r>
    </w:p>
    <w:p w:rsidR="00EC6F8C" w:rsidRPr="00EC6F8C" w:rsidRDefault="00EC6F8C" w:rsidP="00EC6F8C">
      <w:pPr>
        <w:spacing w:after="0" w:line="240" w:lineRule="auto"/>
        <w:ind w:left="1134"/>
        <w:jc w:val="both"/>
        <w:rPr>
          <w:rFonts w:ascii="Verdana" w:hAnsi="Verdana"/>
          <w:i/>
          <w:sz w:val="24"/>
          <w:szCs w:val="24"/>
        </w:rPr>
      </w:pPr>
      <w:r>
        <w:rPr>
          <w:rFonts w:ascii="Verdana" w:hAnsi="Verdana"/>
          <w:i/>
          <w:sz w:val="24"/>
          <w:szCs w:val="24"/>
        </w:rPr>
        <w:t>“</w:t>
      </w:r>
      <w:r w:rsidRPr="00EC6F8C">
        <w:rPr>
          <w:rFonts w:ascii="Verdana" w:hAnsi="Verdana"/>
          <w:i/>
          <w:sz w:val="24"/>
          <w:szCs w:val="24"/>
        </w:rPr>
        <w:t xml:space="preserve">A imunidade é o mais relevante dos institutos </w:t>
      </w:r>
      <w:proofErr w:type="spellStart"/>
      <w:r w:rsidRPr="00EC6F8C">
        <w:rPr>
          <w:rFonts w:ascii="Verdana" w:hAnsi="Verdana"/>
          <w:i/>
          <w:sz w:val="24"/>
          <w:szCs w:val="24"/>
        </w:rPr>
        <w:t>desonerativos</w:t>
      </w:r>
      <w:proofErr w:type="spellEnd"/>
      <w:r w:rsidRPr="00EC6F8C">
        <w:rPr>
          <w:rFonts w:ascii="Verdana" w:hAnsi="Verdana"/>
          <w:i/>
          <w:sz w:val="24"/>
          <w:szCs w:val="24"/>
        </w:rPr>
        <w:t>. Corresponde vedação total ao poder de tributar. A imunidade cria área colocada, constitucionalmente, fora do alcance impositivo, por intenção do constituinte, área necessariamente de salvaguarda absoluta para os contribuintes nela hospedados. A relevância é de tal ordem que a jurisprudência tem entendido ser impossível a adoção de interpretação restritiva a seus comandos legais sendo, obrigatoriamente, a exegese de seus dispositivos ampla.</w:t>
      </w:r>
    </w:p>
    <w:p w:rsidR="00EC6F8C" w:rsidRPr="00EC6F8C" w:rsidRDefault="00EC6F8C" w:rsidP="00EC6F8C">
      <w:pPr>
        <w:spacing w:after="0" w:line="240" w:lineRule="auto"/>
        <w:ind w:left="1134"/>
        <w:jc w:val="both"/>
        <w:rPr>
          <w:rFonts w:ascii="Verdana" w:hAnsi="Verdana"/>
          <w:i/>
          <w:sz w:val="24"/>
          <w:szCs w:val="24"/>
        </w:rPr>
      </w:pPr>
      <w:r w:rsidRPr="00EC6F8C">
        <w:rPr>
          <w:rFonts w:ascii="Verdana" w:hAnsi="Verdana"/>
          <w:i/>
          <w:sz w:val="24"/>
          <w:szCs w:val="24"/>
        </w:rPr>
        <w:t>Compreende-se o desenho pretoriano, visto que os crônicos "déficits" públicos, cujo mérito não nos cabe examinar na área específica do direito tributário, eis que de reflexo jurídico apenas no campo do direito financeiro e econômico, terminam por gerar tentações ao poder tributante de reduzir o esp</w:t>
      </w:r>
      <w:r>
        <w:rPr>
          <w:rFonts w:ascii="Verdana" w:hAnsi="Verdana"/>
          <w:i/>
          <w:sz w:val="24"/>
          <w:szCs w:val="24"/>
        </w:rPr>
        <w:t xml:space="preserve">ectro de atuação da norma </w:t>
      </w:r>
      <w:proofErr w:type="spellStart"/>
      <w:r>
        <w:rPr>
          <w:rFonts w:ascii="Verdana" w:hAnsi="Verdana"/>
          <w:i/>
          <w:sz w:val="24"/>
          <w:szCs w:val="24"/>
        </w:rPr>
        <w:t>vedató</w:t>
      </w:r>
      <w:r w:rsidRPr="00EC6F8C">
        <w:rPr>
          <w:rFonts w:ascii="Verdana" w:hAnsi="Verdana"/>
          <w:i/>
          <w:sz w:val="24"/>
          <w:szCs w:val="24"/>
        </w:rPr>
        <w:t>ria</w:t>
      </w:r>
      <w:proofErr w:type="spellEnd"/>
      <w:r w:rsidRPr="00EC6F8C">
        <w:rPr>
          <w:rFonts w:ascii="Verdana" w:hAnsi="Verdana"/>
          <w:i/>
          <w:sz w:val="24"/>
          <w:szCs w:val="24"/>
        </w:rPr>
        <w:t>. A fim de fulminar tais conveniências exegéticas, o Supremo tem, reiteradamente, insistido que a imunidade só se pode interpretar extensivamente. A publicidade obtida pelos próprios jornais, apesar de não constar expressamente do art. 19, inc. III, letra "d" da E. C. n. 1/69 nele foi incluída por força de decisões da mais alta Corte.</w:t>
      </w:r>
    </w:p>
    <w:p w:rsidR="00EC6F8C" w:rsidRDefault="00EC6F8C" w:rsidP="00EC6F8C">
      <w:pPr>
        <w:spacing w:after="0" w:line="240" w:lineRule="auto"/>
        <w:ind w:left="1134"/>
        <w:jc w:val="both"/>
        <w:rPr>
          <w:rFonts w:ascii="Bookman" w:hAnsi="Bookman"/>
          <w:i/>
          <w:sz w:val="28"/>
        </w:rPr>
      </w:pPr>
      <w:r w:rsidRPr="00EC6F8C">
        <w:rPr>
          <w:rFonts w:ascii="Verdana" w:hAnsi="Verdana"/>
          <w:i/>
          <w:sz w:val="24"/>
          <w:szCs w:val="24"/>
        </w:rPr>
        <w:t>Na imunidade, não há nem o nascimento da obrigação fisc</w:t>
      </w:r>
      <w:r>
        <w:rPr>
          <w:rFonts w:ascii="Verdana" w:hAnsi="Verdana"/>
          <w:i/>
          <w:sz w:val="24"/>
          <w:szCs w:val="24"/>
        </w:rPr>
        <w:t>al, nem do consequ</w:t>
      </w:r>
      <w:r w:rsidRPr="00EC6F8C">
        <w:rPr>
          <w:rFonts w:ascii="Verdana" w:hAnsi="Verdana"/>
          <w:i/>
          <w:sz w:val="24"/>
          <w:szCs w:val="24"/>
        </w:rPr>
        <w:t>ente crédito, em face de sua substância fática estar colocada fora do campo de atuação dos poderes tributantes, por imposição constitucional. Independe, portanto, das vontades legislativas das competências outorgadas pela lei maior”</w:t>
      </w:r>
      <w:r>
        <w:rPr>
          <w:rFonts w:ascii="Verdana" w:hAnsi="Verdana"/>
          <w:i/>
          <w:sz w:val="24"/>
          <w:szCs w:val="24"/>
        </w:rPr>
        <w:t xml:space="preserve">” </w:t>
      </w:r>
      <w:r>
        <w:rPr>
          <w:rStyle w:val="Refdenotaderodap"/>
          <w:rFonts w:ascii="Verdana" w:hAnsi="Verdana"/>
          <w:i/>
          <w:sz w:val="24"/>
          <w:szCs w:val="24"/>
        </w:rPr>
        <w:footnoteReference w:id="3"/>
      </w:r>
      <w:r w:rsidRPr="00EC6F8C">
        <w:rPr>
          <w:rFonts w:ascii="Verdana" w:hAnsi="Verdana"/>
          <w:i/>
          <w:sz w:val="24"/>
          <w:szCs w:val="24"/>
        </w:rPr>
        <w:t>.</w:t>
      </w:r>
    </w:p>
    <w:p w:rsidR="0044208E" w:rsidRDefault="00AB47B7"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lastRenderedPageBreak/>
        <w:t xml:space="preserve">Ora, as imunidades tributárias estão entre as limitações constitucionais ao poder de tributar, </w:t>
      </w:r>
      <w:r w:rsidR="00586089">
        <w:rPr>
          <w:rFonts w:ascii="Verdana" w:hAnsi="Verdana" w:cs="Times New Roman"/>
          <w:sz w:val="24"/>
          <w:szCs w:val="24"/>
        </w:rPr>
        <w:t>e</w:t>
      </w:r>
      <w:r>
        <w:rPr>
          <w:rFonts w:ascii="Verdana" w:hAnsi="Verdana" w:cs="Times New Roman"/>
          <w:sz w:val="24"/>
          <w:szCs w:val="24"/>
        </w:rPr>
        <w:t xml:space="preserve"> o disposto no “caput” do artigo 150,</w:t>
      </w:r>
      <w:r w:rsidR="00E10378">
        <w:rPr>
          <w:rFonts w:ascii="Verdana" w:hAnsi="Verdana" w:cs="Times New Roman"/>
          <w:sz w:val="24"/>
          <w:szCs w:val="24"/>
        </w:rPr>
        <w:t xml:space="preserve"> cuja redação volto a reproduzir </w:t>
      </w:r>
      <w:r>
        <w:rPr>
          <w:rFonts w:ascii="Verdana" w:hAnsi="Verdana" w:cs="Times New Roman"/>
          <w:sz w:val="24"/>
          <w:szCs w:val="24"/>
        </w:rPr>
        <w:t>:</w:t>
      </w:r>
    </w:p>
    <w:p w:rsidR="00AB47B7" w:rsidRPr="0040478F" w:rsidRDefault="0040478F" w:rsidP="0040478F">
      <w:pPr>
        <w:spacing w:after="0" w:line="240" w:lineRule="auto"/>
        <w:ind w:left="1134"/>
        <w:jc w:val="both"/>
        <w:rPr>
          <w:rFonts w:ascii="Verdana" w:hAnsi="Verdana" w:cs="Arial"/>
          <w:i/>
          <w:color w:val="000000"/>
          <w:sz w:val="24"/>
          <w:szCs w:val="24"/>
          <w:shd w:val="clear" w:color="auto" w:fill="FFFFFF"/>
        </w:rPr>
      </w:pPr>
      <w:r w:rsidRPr="0040478F">
        <w:rPr>
          <w:rFonts w:ascii="Verdana" w:hAnsi="Verdana" w:cs="Arial"/>
          <w:i/>
          <w:color w:val="000000"/>
          <w:sz w:val="24"/>
          <w:szCs w:val="24"/>
          <w:shd w:val="clear" w:color="auto" w:fill="FFFFFF"/>
        </w:rPr>
        <w:t xml:space="preserve">“Art. 150. </w:t>
      </w:r>
      <w:r w:rsidRPr="0067716D">
        <w:rPr>
          <w:rFonts w:ascii="Verdana" w:hAnsi="Verdana" w:cs="Arial"/>
          <w:i/>
          <w:color w:val="000000"/>
          <w:sz w:val="24"/>
          <w:szCs w:val="24"/>
          <w:u w:val="single"/>
          <w:shd w:val="clear" w:color="auto" w:fill="FFFFFF"/>
        </w:rPr>
        <w:t>Sem prejuízo de outras garantias asseguradas ao contribuinte</w:t>
      </w:r>
      <w:r w:rsidRPr="0040478F">
        <w:rPr>
          <w:rFonts w:ascii="Verdana" w:hAnsi="Verdana" w:cs="Arial"/>
          <w:i/>
          <w:color w:val="000000"/>
          <w:sz w:val="24"/>
          <w:szCs w:val="24"/>
          <w:shd w:val="clear" w:color="auto" w:fill="FFFFFF"/>
        </w:rPr>
        <w:t>, é vedado à União, aos Estados, ao Distrito Federal e aos Municípios: ..........”</w:t>
      </w:r>
      <w:r w:rsidR="0067716D">
        <w:rPr>
          <w:rFonts w:ascii="Verdana" w:hAnsi="Verdana" w:cs="Arial"/>
          <w:i/>
          <w:color w:val="000000"/>
          <w:sz w:val="24"/>
          <w:szCs w:val="24"/>
          <w:shd w:val="clear" w:color="auto" w:fill="FFFFFF"/>
        </w:rPr>
        <w:t xml:space="preserve"> (grifos meus)</w:t>
      </w:r>
      <w:r w:rsidRPr="0040478F">
        <w:rPr>
          <w:rFonts w:ascii="Verdana" w:hAnsi="Verdana" w:cs="Arial"/>
          <w:i/>
          <w:color w:val="000000"/>
          <w:sz w:val="24"/>
          <w:szCs w:val="24"/>
          <w:shd w:val="clear" w:color="auto" w:fill="FFFFFF"/>
        </w:rPr>
        <w:t>,</w:t>
      </w:r>
    </w:p>
    <w:p w:rsidR="0040478F" w:rsidRPr="0040478F" w:rsidRDefault="00586089" w:rsidP="0000494D">
      <w:pPr>
        <w:spacing w:before="100" w:beforeAutospacing="1" w:after="100" w:afterAutospacing="1" w:line="480" w:lineRule="auto"/>
        <w:jc w:val="both"/>
        <w:rPr>
          <w:rFonts w:ascii="Verdana" w:hAnsi="Verdana" w:cs="Arial"/>
          <w:color w:val="000000"/>
          <w:sz w:val="24"/>
          <w:szCs w:val="24"/>
          <w:shd w:val="clear" w:color="auto" w:fill="FFFFFF"/>
        </w:rPr>
      </w:pPr>
      <w:r>
        <w:rPr>
          <w:rFonts w:ascii="Verdana" w:hAnsi="Verdana" w:cs="Arial"/>
          <w:color w:val="000000"/>
          <w:sz w:val="24"/>
          <w:szCs w:val="24"/>
          <w:shd w:val="clear" w:color="auto" w:fill="FFFFFF"/>
        </w:rPr>
        <w:t xml:space="preserve">vale </w:t>
      </w:r>
      <w:r w:rsidR="0040478F" w:rsidRPr="0040478F">
        <w:rPr>
          <w:rFonts w:ascii="Verdana" w:hAnsi="Verdana" w:cs="Arial"/>
          <w:color w:val="000000"/>
          <w:sz w:val="24"/>
          <w:szCs w:val="24"/>
          <w:shd w:val="clear" w:color="auto" w:fill="FFFFFF"/>
        </w:rPr>
        <w:t>para</w:t>
      </w:r>
      <w:r w:rsidR="0067716D">
        <w:rPr>
          <w:rFonts w:ascii="Verdana" w:hAnsi="Verdana" w:cs="Arial"/>
          <w:color w:val="000000"/>
          <w:sz w:val="24"/>
          <w:szCs w:val="24"/>
          <w:shd w:val="clear" w:color="auto" w:fill="FFFFFF"/>
        </w:rPr>
        <w:t xml:space="preserve"> o artigo 195, § 7º, pois</w:t>
      </w:r>
      <w:r w:rsidR="009E3FA2">
        <w:rPr>
          <w:rFonts w:ascii="Verdana" w:hAnsi="Verdana" w:cs="Arial"/>
          <w:color w:val="000000"/>
          <w:sz w:val="24"/>
          <w:szCs w:val="24"/>
          <w:shd w:val="clear" w:color="auto" w:fill="FFFFFF"/>
        </w:rPr>
        <w:t>,</w:t>
      </w:r>
      <w:r w:rsidR="0040478F" w:rsidRPr="0040478F">
        <w:rPr>
          <w:rFonts w:ascii="Verdana" w:hAnsi="Verdana" w:cs="Arial"/>
          <w:color w:val="000000"/>
          <w:sz w:val="24"/>
          <w:szCs w:val="24"/>
          <w:shd w:val="clear" w:color="auto" w:fill="FFFFFF"/>
        </w:rPr>
        <w:t xml:space="preserve"> para os tributos denominados de </w:t>
      </w:r>
      <w:r w:rsidR="0067716D">
        <w:rPr>
          <w:rFonts w:ascii="Verdana" w:hAnsi="Verdana" w:cs="Arial"/>
          <w:color w:val="000000"/>
          <w:sz w:val="24"/>
          <w:szCs w:val="24"/>
          <w:shd w:val="clear" w:color="auto" w:fill="FFFFFF"/>
        </w:rPr>
        <w:t>“</w:t>
      </w:r>
      <w:r w:rsidR="0040478F" w:rsidRPr="0040478F">
        <w:rPr>
          <w:rFonts w:ascii="Verdana" w:hAnsi="Verdana" w:cs="Arial"/>
          <w:color w:val="000000"/>
          <w:sz w:val="24"/>
          <w:szCs w:val="24"/>
          <w:shd w:val="clear" w:color="auto" w:fill="FFFFFF"/>
        </w:rPr>
        <w:t>contribuições sociais</w:t>
      </w:r>
      <w:r w:rsidR="0067716D">
        <w:rPr>
          <w:rFonts w:ascii="Verdana" w:hAnsi="Verdana" w:cs="Arial"/>
          <w:color w:val="000000"/>
          <w:sz w:val="24"/>
          <w:szCs w:val="24"/>
          <w:shd w:val="clear" w:color="auto" w:fill="FFFFFF"/>
        </w:rPr>
        <w:t>”</w:t>
      </w:r>
      <w:r w:rsidR="009E3FA2">
        <w:rPr>
          <w:rFonts w:ascii="Verdana" w:hAnsi="Verdana" w:cs="Arial"/>
          <w:color w:val="000000"/>
          <w:sz w:val="24"/>
          <w:szCs w:val="24"/>
          <w:shd w:val="clear" w:color="auto" w:fill="FFFFFF"/>
        </w:rPr>
        <w:t>,</w:t>
      </w:r>
      <w:r w:rsidR="0040478F" w:rsidRPr="0040478F">
        <w:rPr>
          <w:rFonts w:ascii="Verdana" w:hAnsi="Verdana" w:cs="Arial"/>
          <w:color w:val="000000"/>
          <w:sz w:val="24"/>
          <w:szCs w:val="24"/>
          <w:shd w:val="clear" w:color="auto" w:fill="FFFFFF"/>
        </w:rPr>
        <w:t xml:space="preserve"> aplica</w:t>
      </w:r>
      <w:r w:rsidR="009E3FA2">
        <w:rPr>
          <w:rFonts w:ascii="Verdana" w:hAnsi="Verdana" w:cs="Arial"/>
          <w:color w:val="000000"/>
          <w:sz w:val="24"/>
          <w:szCs w:val="24"/>
          <w:shd w:val="clear" w:color="auto" w:fill="FFFFFF"/>
        </w:rPr>
        <w:t>m</w:t>
      </w:r>
      <w:r w:rsidR="0040478F" w:rsidRPr="0040478F">
        <w:rPr>
          <w:rFonts w:ascii="Verdana" w:hAnsi="Verdana" w:cs="Arial"/>
          <w:color w:val="000000"/>
          <w:sz w:val="24"/>
          <w:szCs w:val="24"/>
          <w:shd w:val="clear" w:color="auto" w:fill="FFFFFF"/>
        </w:rPr>
        <w:t xml:space="preserve">-se os mesmos critérios dos tributos denominados </w:t>
      </w:r>
      <w:r w:rsidR="0067716D">
        <w:rPr>
          <w:rFonts w:ascii="Verdana" w:hAnsi="Verdana" w:cs="Arial"/>
          <w:color w:val="000000"/>
          <w:sz w:val="24"/>
          <w:szCs w:val="24"/>
          <w:shd w:val="clear" w:color="auto" w:fill="FFFFFF"/>
        </w:rPr>
        <w:t>“</w:t>
      </w:r>
      <w:r w:rsidR="0040478F" w:rsidRPr="0040478F">
        <w:rPr>
          <w:rFonts w:ascii="Verdana" w:hAnsi="Verdana" w:cs="Arial"/>
          <w:color w:val="000000"/>
          <w:sz w:val="24"/>
          <w:szCs w:val="24"/>
          <w:shd w:val="clear" w:color="auto" w:fill="FFFFFF"/>
        </w:rPr>
        <w:t>impostos</w:t>
      </w:r>
      <w:r w:rsidR="0067716D">
        <w:rPr>
          <w:rFonts w:ascii="Verdana" w:hAnsi="Verdana" w:cs="Arial"/>
          <w:color w:val="000000"/>
          <w:sz w:val="24"/>
          <w:szCs w:val="24"/>
          <w:shd w:val="clear" w:color="auto" w:fill="FFFFFF"/>
        </w:rPr>
        <w:t>”</w:t>
      </w:r>
      <w:r w:rsidR="00DA1CDC">
        <w:rPr>
          <w:rFonts w:ascii="Verdana" w:hAnsi="Verdana" w:cs="Arial"/>
          <w:color w:val="000000"/>
          <w:sz w:val="24"/>
          <w:szCs w:val="24"/>
          <w:shd w:val="clear" w:color="auto" w:fill="FFFFFF"/>
        </w:rPr>
        <w:t>,</w:t>
      </w:r>
      <w:r w:rsidR="0040478F" w:rsidRPr="0040478F">
        <w:rPr>
          <w:rFonts w:ascii="Verdana" w:hAnsi="Verdana" w:cs="Arial"/>
          <w:color w:val="000000"/>
          <w:sz w:val="24"/>
          <w:szCs w:val="24"/>
          <w:shd w:val="clear" w:color="auto" w:fill="FFFFFF"/>
        </w:rPr>
        <w:t xml:space="preserve"> a que se refere o artigo 150, inciso VI, letra “c”.</w:t>
      </w:r>
    </w:p>
    <w:p w:rsidR="00543516" w:rsidRDefault="0040478F" w:rsidP="009E3FA2">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 xml:space="preserve">Ora, o discurso inicial do artigo 150 principia com a observação de que as limitações constitucionais </w:t>
      </w:r>
      <w:r w:rsidRPr="0040478F">
        <w:rPr>
          <w:rFonts w:ascii="Verdana" w:hAnsi="Verdana" w:cs="Times New Roman"/>
          <w:sz w:val="24"/>
          <w:szCs w:val="24"/>
          <w:u w:val="single"/>
        </w:rPr>
        <w:t>ao poder de tributar são garantias constitucionais</w:t>
      </w:r>
      <w:r w:rsidR="009E3FA2">
        <w:rPr>
          <w:rFonts w:ascii="Verdana" w:hAnsi="Verdana" w:cs="Times New Roman"/>
          <w:sz w:val="24"/>
          <w:szCs w:val="24"/>
          <w:u w:val="single"/>
        </w:rPr>
        <w:t>,</w:t>
      </w:r>
      <w:r w:rsidR="009E3FA2" w:rsidRPr="009E3FA2">
        <w:rPr>
          <w:rFonts w:ascii="Verdana" w:hAnsi="Verdana" w:cs="Times New Roman"/>
          <w:sz w:val="24"/>
          <w:szCs w:val="24"/>
        </w:rPr>
        <w:t xml:space="preserve"> tanto que </w:t>
      </w:r>
      <w:r>
        <w:rPr>
          <w:rFonts w:ascii="Verdana" w:hAnsi="Verdana" w:cs="Times New Roman"/>
          <w:sz w:val="24"/>
          <w:szCs w:val="24"/>
        </w:rPr>
        <w:t>f</w:t>
      </w:r>
      <w:r w:rsidR="009E3FA2">
        <w:rPr>
          <w:rFonts w:ascii="Verdana" w:hAnsi="Verdana" w:cs="Times New Roman"/>
          <w:sz w:val="24"/>
          <w:szCs w:val="24"/>
        </w:rPr>
        <w:t>a</w:t>
      </w:r>
      <w:r>
        <w:rPr>
          <w:rFonts w:ascii="Verdana" w:hAnsi="Verdana" w:cs="Times New Roman"/>
          <w:sz w:val="24"/>
          <w:szCs w:val="24"/>
        </w:rPr>
        <w:t>z referência a que:</w:t>
      </w:r>
    </w:p>
    <w:p w:rsidR="0040478F" w:rsidRPr="0040478F" w:rsidRDefault="0040478F" w:rsidP="0040478F">
      <w:pPr>
        <w:spacing w:after="0" w:line="240" w:lineRule="auto"/>
        <w:ind w:left="1134"/>
        <w:jc w:val="both"/>
        <w:rPr>
          <w:rFonts w:ascii="Verdana" w:hAnsi="Verdana" w:cs="Times New Roman"/>
          <w:i/>
          <w:sz w:val="24"/>
          <w:szCs w:val="24"/>
        </w:rPr>
      </w:pPr>
      <w:r w:rsidRPr="0040478F">
        <w:rPr>
          <w:rFonts w:ascii="Verdana" w:hAnsi="Verdana" w:cs="Times New Roman"/>
          <w:i/>
          <w:sz w:val="24"/>
          <w:szCs w:val="24"/>
        </w:rPr>
        <w:t xml:space="preserve">“Sem prejuízo de </w:t>
      </w:r>
      <w:r w:rsidRPr="009E3FA2">
        <w:rPr>
          <w:rFonts w:ascii="Verdana" w:hAnsi="Verdana" w:cs="Times New Roman"/>
          <w:i/>
          <w:sz w:val="24"/>
          <w:szCs w:val="24"/>
          <w:u w:val="single"/>
        </w:rPr>
        <w:t>outras garantias</w:t>
      </w:r>
      <w:r w:rsidRPr="0040478F">
        <w:rPr>
          <w:rFonts w:ascii="Verdana" w:hAnsi="Verdana" w:cs="Times New Roman"/>
          <w:i/>
          <w:sz w:val="24"/>
          <w:szCs w:val="24"/>
        </w:rPr>
        <w:t xml:space="preserve"> asseguradas aos contribuintes”,</w:t>
      </w:r>
    </w:p>
    <w:p w:rsidR="0040478F" w:rsidRDefault="0040478F"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 xml:space="preserve">admitindo duas espécies de garantias, ou seja, aquelas </w:t>
      </w:r>
      <w:proofErr w:type="spellStart"/>
      <w:r w:rsidR="00D05F18">
        <w:rPr>
          <w:rFonts w:ascii="Verdana" w:hAnsi="Verdana" w:cs="Times New Roman"/>
          <w:sz w:val="24"/>
          <w:szCs w:val="24"/>
        </w:rPr>
        <w:t>decorrenciais</w:t>
      </w:r>
      <w:proofErr w:type="spellEnd"/>
      <w:r w:rsidR="00D05F18">
        <w:rPr>
          <w:rFonts w:ascii="Verdana" w:hAnsi="Verdana" w:cs="Times New Roman"/>
          <w:sz w:val="24"/>
          <w:szCs w:val="24"/>
        </w:rPr>
        <w:t xml:space="preserve"> do próprio texto e outras não constantes da Seção II</w:t>
      </w:r>
      <w:r w:rsidR="009E3FA2">
        <w:rPr>
          <w:rFonts w:ascii="Verdana" w:hAnsi="Verdana" w:cs="Times New Roman"/>
          <w:sz w:val="24"/>
          <w:szCs w:val="24"/>
        </w:rPr>
        <w:t>,</w:t>
      </w:r>
      <w:r w:rsidR="00D05F18">
        <w:rPr>
          <w:rFonts w:ascii="Verdana" w:hAnsi="Verdana" w:cs="Times New Roman"/>
          <w:sz w:val="24"/>
          <w:szCs w:val="24"/>
        </w:rPr>
        <w:t xml:space="preserve"> do Capítulo I</w:t>
      </w:r>
      <w:r w:rsidR="009E3FA2">
        <w:rPr>
          <w:rFonts w:ascii="Verdana" w:hAnsi="Verdana" w:cs="Times New Roman"/>
          <w:sz w:val="24"/>
          <w:szCs w:val="24"/>
        </w:rPr>
        <w:t>,</w:t>
      </w:r>
      <w:r w:rsidR="00D05F18">
        <w:rPr>
          <w:rFonts w:ascii="Verdana" w:hAnsi="Verdana" w:cs="Times New Roman"/>
          <w:sz w:val="24"/>
          <w:szCs w:val="24"/>
        </w:rPr>
        <w:t xml:space="preserve"> do Título VI </w:t>
      </w:r>
      <w:r w:rsidR="00D05F18">
        <w:rPr>
          <w:rStyle w:val="Refdenotaderodap"/>
          <w:rFonts w:ascii="Verdana" w:hAnsi="Verdana" w:cs="Times New Roman"/>
          <w:sz w:val="24"/>
          <w:szCs w:val="24"/>
        </w:rPr>
        <w:footnoteReference w:id="4"/>
      </w:r>
      <w:r w:rsidR="00D05F18">
        <w:rPr>
          <w:rFonts w:ascii="Verdana" w:hAnsi="Verdana" w:cs="Times New Roman"/>
          <w:sz w:val="24"/>
          <w:szCs w:val="24"/>
        </w:rPr>
        <w:t>.</w:t>
      </w:r>
    </w:p>
    <w:p w:rsidR="00543516" w:rsidRPr="002A3345" w:rsidRDefault="00424377" w:rsidP="0000494D">
      <w:pPr>
        <w:spacing w:before="100" w:beforeAutospacing="1" w:after="100" w:afterAutospacing="1" w:line="480" w:lineRule="auto"/>
        <w:jc w:val="both"/>
        <w:rPr>
          <w:rFonts w:ascii="Verdana" w:hAnsi="Verdana" w:cs="Times New Roman"/>
          <w:sz w:val="24"/>
          <w:szCs w:val="24"/>
        </w:rPr>
      </w:pPr>
      <w:r w:rsidRPr="002A3345">
        <w:rPr>
          <w:rFonts w:ascii="Verdana" w:hAnsi="Verdana" w:cs="Times New Roman"/>
          <w:sz w:val="24"/>
          <w:szCs w:val="24"/>
        </w:rPr>
        <w:lastRenderedPageBreak/>
        <w:t xml:space="preserve">Em outras palavras, </w:t>
      </w:r>
      <w:r w:rsidR="00FA1F0A" w:rsidRPr="002A3345">
        <w:rPr>
          <w:rFonts w:ascii="Verdana" w:hAnsi="Verdana" w:cs="Times New Roman"/>
          <w:sz w:val="24"/>
          <w:szCs w:val="24"/>
        </w:rPr>
        <w:t xml:space="preserve">assistem aos contribuintes </w:t>
      </w:r>
      <w:r w:rsidRPr="002A3345">
        <w:rPr>
          <w:rFonts w:ascii="Verdana" w:hAnsi="Verdana" w:cs="Times New Roman"/>
          <w:sz w:val="24"/>
          <w:szCs w:val="24"/>
        </w:rPr>
        <w:t>outras garantias individuais que não constam do artigo 150 e possam decorrer de princípios</w:t>
      </w:r>
      <w:r w:rsidR="002A3345">
        <w:rPr>
          <w:rFonts w:ascii="Verdana" w:hAnsi="Verdana" w:cs="Times New Roman"/>
          <w:sz w:val="24"/>
          <w:szCs w:val="24"/>
        </w:rPr>
        <w:t xml:space="preserve"> incluídos em espaços</w:t>
      </w:r>
      <w:r w:rsidR="00382CE6">
        <w:rPr>
          <w:rFonts w:ascii="Verdana" w:hAnsi="Verdana" w:cs="Times New Roman"/>
          <w:sz w:val="24"/>
          <w:szCs w:val="24"/>
        </w:rPr>
        <w:t xml:space="preserve"> diversos</w:t>
      </w:r>
      <w:r w:rsidR="002A3345">
        <w:rPr>
          <w:rFonts w:ascii="Verdana" w:hAnsi="Verdana" w:cs="Times New Roman"/>
          <w:sz w:val="24"/>
          <w:szCs w:val="24"/>
        </w:rPr>
        <w:t xml:space="preserve"> da Lei Maior,</w:t>
      </w:r>
      <w:r w:rsidRPr="002A3345">
        <w:rPr>
          <w:rFonts w:ascii="Verdana" w:hAnsi="Verdana" w:cs="Times New Roman"/>
          <w:sz w:val="24"/>
          <w:szCs w:val="24"/>
        </w:rPr>
        <w:t xml:space="preserve"> </w:t>
      </w:r>
      <w:r w:rsidR="002A3345">
        <w:rPr>
          <w:rFonts w:ascii="Verdana" w:hAnsi="Verdana" w:cs="Times New Roman"/>
          <w:sz w:val="24"/>
          <w:szCs w:val="24"/>
        </w:rPr>
        <w:t>como ocorre no artigo 195, § 7º</w:t>
      </w:r>
      <w:r w:rsidRPr="002A3345">
        <w:rPr>
          <w:rFonts w:ascii="Verdana" w:hAnsi="Verdana" w:cs="Times New Roman"/>
          <w:sz w:val="24"/>
          <w:szCs w:val="24"/>
        </w:rPr>
        <w:t>.</w:t>
      </w:r>
    </w:p>
    <w:p w:rsidR="00424377" w:rsidRDefault="00424377"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 xml:space="preserve">O certo, todavia, </w:t>
      </w:r>
      <w:r w:rsidR="0067716D">
        <w:rPr>
          <w:rFonts w:ascii="Verdana" w:hAnsi="Verdana" w:cs="Times New Roman"/>
          <w:sz w:val="24"/>
          <w:szCs w:val="24"/>
        </w:rPr>
        <w:t xml:space="preserve">é </w:t>
      </w:r>
      <w:r>
        <w:rPr>
          <w:rFonts w:ascii="Verdana" w:hAnsi="Verdana" w:cs="Times New Roman"/>
          <w:sz w:val="24"/>
          <w:szCs w:val="24"/>
        </w:rPr>
        <w:t>que</w:t>
      </w:r>
      <w:r w:rsidR="00FA1F0A">
        <w:rPr>
          <w:rFonts w:ascii="Verdana" w:hAnsi="Verdana" w:cs="Times New Roman"/>
          <w:sz w:val="24"/>
          <w:szCs w:val="24"/>
        </w:rPr>
        <w:t>,</w:t>
      </w:r>
      <w:r>
        <w:rPr>
          <w:rFonts w:ascii="Verdana" w:hAnsi="Verdana" w:cs="Times New Roman"/>
          <w:sz w:val="24"/>
          <w:szCs w:val="24"/>
        </w:rPr>
        <w:t xml:space="preserve"> quaisquer </w:t>
      </w:r>
      <w:r w:rsidR="00FA1F0A">
        <w:rPr>
          <w:rFonts w:ascii="Verdana" w:hAnsi="Verdana" w:cs="Times New Roman"/>
          <w:sz w:val="24"/>
          <w:szCs w:val="24"/>
        </w:rPr>
        <w:t xml:space="preserve">pessoas </w:t>
      </w:r>
      <w:r w:rsidR="0067716D">
        <w:rPr>
          <w:rFonts w:ascii="Verdana" w:hAnsi="Verdana" w:cs="Times New Roman"/>
          <w:sz w:val="24"/>
          <w:szCs w:val="24"/>
        </w:rPr>
        <w:t>tê</w:t>
      </w:r>
      <w:r>
        <w:rPr>
          <w:rFonts w:ascii="Verdana" w:hAnsi="Verdana" w:cs="Times New Roman"/>
          <w:sz w:val="24"/>
          <w:szCs w:val="24"/>
        </w:rPr>
        <w:t>m direito a imunidades constitucionais erigidas em garantias individuais dos contribuintes</w:t>
      </w:r>
      <w:r w:rsidR="00FA1F0A">
        <w:rPr>
          <w:rFonts w:ascii="Verdana" w:hAnsi="Verdana" w:cs="Times New Roman"/>
          <w:sz w:val="24"/>
          <w:szCs w:val="24"/>
        </w:rPr>
        <w:t>,</w:t>
      </w:r>
      <w:r>
        <w:rPr>
          <w:rFonts w:ascii="Verdana" w:hAnsi="Verdana" w:cs="Times New Roman"/>
          <w:sz w:val="24"/>
          <w:szCs w:val="24"/>
        </w:rPr>
        <w:t xml:space="preserve"> pelo legislador supremo</w:t>
      </w:r>
      <w:r w:rsidR="00FA1F0A">
        <w:rPr>
          <w:rFonts w:ascii="Verdana" w:hAnsi="Verdana" w:cs="Times New Roman"/>
          <w:sz w:val="24"/>
          <w:szCs w:val="24"/>
        </w:rPr>
        <w:t>,</w:t>
      </w:r>
      <w:r w:rsidR="00DA1CDC">
        <w:rPr>
          <w:rFonts w:ascii="Verdana" w:hAnsi="Verdana" w:cs="Times New Roman"/>
          <w:sz w:val="24"/>
          <w:szCs w:val="24"/>
        </w:rPr>
        <w:t xml:space="preserve"> </w:t>
      </w:r>
      <w:r w:rsidR="00FA1F0A">
        <w:rPr>
          <w:rFonts w:ascii="Verdana" w:hAnsi="Verdana" w:cs="Times New Roman"/>
          <w:sz w:val="24"/>
          <w:szCs w:val="24"/>
        </w:rPr>
        <w:t>n</w:t>
      </w:r>
      <w:r w:rsidR="00DA1CDC">
        <w:rPr>
          <w:rFonts w:ascii="Verdana" w:hAnsi="Verdana" w:cs="Times New Roman"/>
          <w:sz w:val="24"/>
          <w:szCs w:val="24"/>
        </w:rPr>
        <w:t xml:space="preserve">as hipóteses </w:t>
      </w:r>
      <w:r w:rsidR="00FA1F0A">
        <w:rPr>
          <w:rFonts w:ascii="Verdana" w:hAnsi="Verdana" w:cs="Times New Roman"/>
          <w:sz w:val="24"/>
          <w:szCs w:val="24"/>
        </w:rPr>
        <w:t xml:space="preserve">previstas </w:t>
      </w:r>
      <w:r w:rsidR="00DA1CDC">
        <w:rPr>
          <w:rFonts w:ascii="Verdana" w:hAnsi="Verdana" w:cs="Times New Roman"/>
          <w:sz w:val="24"/>
          <w:szCs w:val="24"/>
        </w:rPr>
        <w:t>na Lei Maior</w:t>
      </w:r>
      <w:r w:rsidR="00FA1F0A">
        <w:rPr>
          <w:rFonts w:ascii="Verdana" w:hAnsi="Verdana" w:cs="Times New Roman"/>
          <w:sz w:val="24"/>
          <w:szCs w:val="24"/>
        </w:rPr>
        <w:t>.</w:t>
      </w:r>
      <w:r>
        <w:rPr>
          <w:rStyle w:val="Refdenotaderodap"/>
          <w:rFonts w:ascii="Verdana" w:hAnsi="Verdana" w:cs="Times New Roman"/>
          <w:sz w:val="24"/>
          <w:szCs w:val="24"/>
        </w:rPr>
        <w:footnoteReference w:id="5"/>
      </w:r>
    </w:p>
    <w:p w:rsidR="00543516" w:rsidRDefault="00D4637C"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lastRenderedPageBreak/>
        <w:t xml:space="preserve">Ora, os contribuintes são pessoas </w:t>
      </w:r>
      <w:r w:rsidR="0017131B">
        <w:rPr>
          <w:rFonts w:ascii="Verdana" w:hAnsi="Verdana" w:cs="Times New Roman"/>
          <w:sz w:val="24"/>
          <w:szCs w:val="24"/>
        </w:rPr>
        <w:t>físicas ou</w:t>
      </w:r>
      <w:r>
        <w:rPr>
          <w:rFonts w:ascii="Verdana" w:hAnsi="Verdana" w:cs="Times New Roman"/>
          <w:sz w:val="24"/>
          <w:szCs w:val="24"/>
        </w:rPr>
        <w:t xml:space="preserve"> jurídicas.</w:t>
      </w:r>
    </w:p>
    <w:p w:rsidR="00D4637C" w:rsidRDefault="00D4637C" w:rsidP="0000494D">
      <w:pPr>
        <w:spacing w:before="100" w:beforeAutospacing="1" w:after="100" w:afterAutospacing="1" w:line="480" w:lineRule="auto"/>
        <w:jc w:val="both"/>
        <w:rPr>
          <w:rFonts w:ascii="Verdana" w:hAnsi="Verdana" w:cs="Times New Roman"/>
          <w:sz w:val="24"/>
          <w:szCs w:val="24"/>
        </w:rPr>
      </w:pPr>
      <w:r w:rsidRPr="00D4637C">
        <w:rPr>
          <w:rFonts w:ascii="Verdana" w:hAnsi="Verdana" w:cs="Times New Roman"/>
          <w:sz w:val="24"/>
          <w:szCs w:val="24"/>
          <w:u w:val="single"/>
        </w:rPr>
        <w:t>De rigor</w:t>
      </w:r>
      <w:r>
        <w:rPr>
          <w:rFonts w:ascii="Verdana" w:hAnsi="Verdana" w:cs="Times New Roman"/>
          <w:sz w:val="24"/>
          <w:szCs w:val="24"/>
        </w:rPr>
        <w:t xml:space="preserve"> são apenas pessoas físicas, pois</w:t>
      </w:r>
      <w:r w:rsidR="00FA1F0A">
        <w:rPr>
          <w:rFonts w:ascii="Verdana" w:hAnsi="Verdana" w:cs="Times New Roman"/>
          <w:sz w:val="24"/>
          <w:szCs w:val="24"/>
        </w:rPr>
        <w:t>,</w:t>
      </w:r>
      <w:r>
        <w:rPr>
          <w:rFonts w:ascii="Verdana" w:hAnsi="Verdana" w:cs="Times New Roman"/>
          <w:sz w:val="24"/>
          <w:szCs w:val="24"/>
        </w:rPr>
        <w:t xml:space="preserve"> as jurídicas</w:t>
      </w:r>
      <w:r w:rsidR="00FA1F0A">
        <w:rPr>
          <w:rFonts w:ascii="Verdana" w:hAnsi="Verdana" w:cs="Times New Roman"/>
          <w:sz w:val="24"/>
          <w:szCs w:val="24"/>
        </w:rPr>
        <w:t>,</w:t>
      </w:r>
      <w:r>
        <w:rPr>
          <w:rFonts w:ascii="Verdana" w:hAnsi="Verdana" w:cs="Times New Roman"/>
          <w:sz w:val="24"/>
          <w:szCs w:val="24"/>
        </w:rPr>
        <w:t xml:space="preserve"> são sempre </w:t>
      </w:r>
      <w:r w:rsidR="00FA1F0A">
        <w:rPr>
          <w:rFonts w:ascii="Verdana" w:hAnsi="Verdana" w:cs="Times New Roman"/>
          <w:sz w:val="24"/>
          <w:szCs w:val="24"/>
        </w:rPr>
        <w:t xml:space="preserve">integradas e </w:t>
      </w:r>
      <w:r>
        <w:rPr>
          <w:rFonts w:ascii="Verdana" w:hAnsi="Verdana" w:cs="Times New Roman"/>
          <w:sz w:val="24"/>
          <w:szCs w:val="24"/>
        </w:rPr>
        <w:t>controladas</w:t>
      </w:r>
      <w:r w:rsidR="00FA1F0A">
        <w:rPr>
          <w:rFonts w:ascii="Verdana" w:hAnsi="Verdana" w:cs="Times New Roman"/>
          <w:sz w:val="24"/>
          <w:szCs w:val="24"/>
        </w:rPr>
        <w:t>,</w:t>
      </w:r>
      <w:r>
        <w:rPr>
          <w:rFonts w:ascii="Verdana" w:hAnsi="Verdana" w:cs="Times New Roman"/>
          <w:sz w:val="24"/>
          <w:szCs w:val="24"/>
        </w:rPr>
        <w:t xml:space="preserve"> em última instância</w:t>
      </w:r>
      <w:r w:rsidR="00FA1F0A">
        <w:rPr>
          <w:rFonts w:ascii="Verdana" w:hAnsi="Verdana" w:cs="Times New Roman"/>
          <w:sz w:val="24"/>
          <w:szCs w:val="24"/>
        </w:rPr>
        <w:t>,</w:t>
      </w:r>
      <w:r>
        <w:rPr>
          <w:rFonts w:ascii="Verdana" w:hAnsi="Verdana" w:cs="Times New Roman"/>
          <w:sz w:val="24"/>
          <w:szCs w:val="24"/>
        </w:rPr>
        <w:t xml:space="preserve"> por pessoas físicas, visto que não há pessoas jurídicas dirigidas por robôs.</w:t>
      </w:r>
    </w:p>
    <w:p w:rsidR="00D4637C" w:rsidRDefault="00D4637C"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Não sem razão, no concernente ao imposto de renda</w:t>
      </w:r>
      <w:r w:rsidR="00DA1CDC">
        <w:rPr>
          <w:rFonts w:ascii="Verdana" w:hAnsi="Verdana" w:cs="Times New Roman"/>
          <w:sz w:val="24"/>
          <w:szCs w:val="24"/>
        </w:rPr>
        <w:t>,</w:t>
      </w:r>
      <w:r>
        <w:rPr>
          <w:rFonts w:ascii="Verdana" w:hAnsi="Verdana" w:cs="Times New Roman"/>
          <w:sz w:val="24"/>
          <w:szCs w:val="24"/>
        </w:rPr>
        <w:t xml:space="preserve"> o l</w:t>
      </w:r>
      <w:r w:rsidR="0067716D">
        <w:rPr>
          <w:rFonts w:ascii="Verdana" w:hAnsi="Verdana" w:cs="Times New Roman"/>
          <w:sz w:val="24"/>
          <w:szCs w:val="24"/>
        </w:rPr>
        <w:t>uc</w:t>
      </w:r>
      <w:r>
        <w:rPr>
          <w:rFonts w:ascii="Verdana" w:hAnsi="Verdana" w:cs="Times New Roman"/>
          <w:sz w:val="24"/>
          <w:szCs w:val="24"/>
        </w:rPr>
        <w:t xml:space="preserve">ro distribuído </w:t>
      </w:r>
      <w:r w:rsidR="00DA1CDC">
        <w:rPr>
          <w:rFonts w:ascii="Verdana" w:hAnsi="Verdana" w:cs="Times New Roman"/>
          <w:sz w:val="24"/>
          <w:szCs w:val="24"/>
        </w:rPr>
        <w:t>pela</w:t>
      </w:r>
      <w:r>
        <w:rPr>
          <w:rFonts w:ascii="Verdana" w:hAnsi="Verdana" w:cs="Times New Roman"/>
          <w:sz w:val="24"/>
          <w:szCs w:val="24"/>
        </w:rPr>
        <w:t xml:space="preserve">s pessoas jurídicas </w:t>
      </w:r>
      <w:r w:rsidR="00DA1CDC">
        <w:rPr>
          <w:rFonts w:ascii="Verdana" w:hAnsi="Verdana" w:cs="Times New Roman"/>
          <w:sz w:val="24"/>
          <w:szCs w:val="24"/>
        </w:rPr>
        <w:t xml:space="preserve">às pessoas físicas </w:t>
      </w:r>
      <w:r w:rsidR="00FA1F0A">
        <w:rPr>
          <w:rFonts w:ascii="Verdana" w:hAnsi="Verdana" w:cs="Times New Roman"/>
          <w:sz w:val="24"/>
          <w:szCs w:val="24"/>
        </w:rPr>
        <w:t>é</w:t>
      </w:r>
      <w:r w:rsidR="00DA1CDC">
        <w:rPr>
          <w:rFonts w:ascii="Verdana" w:hAnsi="Verdana" w:cs="Times New Roman"/>
          <w:sz w:val="24"/>
          <w:szCs w:val="24"/>
        </w:rPr>
        <w:t xml:space="preserve"> desonerado</w:t>
      </w:r>
      <w:r>
        <w:rPr>
          <w:rFonts w:ascii="Verdana" w:hAnsi="Verdana" w:cs="Times New Roman"/>
          <w:sz w:val="24"/>
          <w:szCs w:val="24"/>
        </w:rPr>
        <w:t xml:space="preserve"> do tributo, pois este tributo já foi recolhido nas pessoas jurídicas</w:t>
      </w:r>
      <w:r w:rsidR="0067716D">
        <w:rPr>
          <w:rFonts w:ascii="Verdana" w:hAnsi="Verdana" w:cs="Times New Roman"/>
          <w:sz w:val="24"/>
          <w:szCs w:val="24"/>
        </w:rPr>
        <w:t xml:space="preserve">. Por outro lado, </w:t>
      </w:r>
      <w:r>
        <w:rPr>
          <w:rFonts w:ascii="Verdana" w:hAnsi="Verdana" w:cs="Times New Roman"/>
          <w:sz w:val="24"/>
          <w:szCs w:val="24"/>
        </w:rPr>
        <w:t>pela</w:t>
      </w:r>
      <w:r w:rsidR="00212816">
        <w:rPr>
          <w:rFonts w:ascii="Verdana" w:hAnsi="Verdana" w:cs="Times New Roman"/>
          <w:sz w:val="24"/>
          <w:szCs w:val="24"/>
        </w:rPr>
        <w:t>s regras que disciplinam a</w:t>
      </w:r>
      <w:r>
        <w:rPr>
          <w:rFonts w:ascii="Verdana" w:hAnsi="Verdana" w:cs="Times New Roman"/>
          <w:sz w:val="24"/>
          <w:szCs w:val="24"/>
        </w:rPr>
        <w:t xml:space="preserve"> responsabilidade tributária, </w:t>
      </w:r>
      <w:r w:rsidR="00212816">
        <w:rPr>
          <w:rFonts w:ascii="Verdana" w:hAnsi="Verdana" w:cs="Times New Roman"/>
          <w:sz w:val="24"/>
          <w:szCs w:val="24"/>
        </w:rPr>
        <w:t>no caso de insolvência d</w:t>
      </w:r>
      <w:r>
        <w:rPr>
          <w:rFonts w:ascii="Verdana" w:hAnsi="Verdana" w:cs="Times New Roman"/>
          <w:sz w:val="24"/>
          <w:szCs w:val="24"/>
        </w:rPr>
        <w:t>as empresas devedoras de tributos</w:t>
      </w:r>
      <w:r w:rsidR="00212816">
        <w:rPr>
          <w:rFonts w:ascii="Verdana" w:hAnsi="Verdana" w:cs="Times New Roman"/>
          <w:sz w:val="24"/>
          <w:szCs w:val="24"/>
        </w:rPr>
        <w:t>,</w:t>
      </w:r>
      <w:r>
        <w:rPr>
          <w:rFonts w:ascii="Verdana" w:hAnsi="Verdana" w:cs="Times New Roman"/>
          <w:sz w:val="24"/>
          <w:szCs w:val="24"/>
        </w:rPr>
        <w:t xml:space="preserve"> </w:t>
      </w:r>
      <w:r w:rsidR="00212816">
        <w:rPr>
          <w:rFonts w:ascii="Verdana" w:hAnsi="Verdana" w:cs="Times New Roman"/>
          <w:sz w:val="24"/>
          <w:szCs w:val="24"/>
        </w:rPr>
        <w:lastRenderedPageBreak/>
        <w:t xml:space="preserve">respondem, </w:t>
      </w:r>
      <w:r>
        <w:rPr>
          <w:rFonts w:ascii="Verdana" w:hAnsi="Verdana" w:cs="Times New Roman"/>
          <w:sz w:val="24"/>
          <w:szCs w:val="24"/>
        </w:rPr>
        <w:t>seus diretores ou controladores</w:t>
      </w:r>
      <w:r w:rsidR="00212816">
        <w:rPr>
          <w:rFonts w:ascii="Verdana" w:hAnsi="Verdana" w:cs="Times New Roman"/>
          <w:sz w:val="24"/>
          <w:szCs w:val="24"/>
        </w:rPr>
        <w:t xml:space="preserve">, </w:t>
      </w:r>
      <w:r>
        <w:rPr>
          <w:rFonts w:ascii="Verdana" w:hAnsi="Verdana" w:cs="Times New Roman"/>
          <w:sz w:val="24"/>
          <w:szCs w:val="24"/>
        </w:rPr>
        <w:t xml:space="preserve">subsidiariamente </w:t>
      </w:r>
      <w:r w:rsidR="00DA1CDC">
        <w:rPr>
          <w:rFonts w:ascii="Verdana" w:hAnsi="Verdana" w:cs="Times New Roman"/>
          <w:sz w:val="24"/>
          <w:szCs w:val="24"/>
        </w:rPr>
        <w:t xml:space="preserve">ou solidariamente </w:t>
      </w:r>
      <w:r>
        <w:rPr>
          <w:rFonts w:ascii="Verdana" w:hAnsi="Verdana" w:cs="Times New Roman"/>
          <w:sz w:val="24"/>
          <w:szCs w:val="24"/>
        </w:rPr>
        <w:t xml:space="preserve">pelos tributos </w:t>
      </w:r>
      <w:r>
        <w:rPr>
          <w:rStyle w:val="Refdenotaderodap"/>
          <w:rFonts w:ascii="Verdana" w:hAnsi="Verdana" w:cs="Times New Roman"/>
          <w:sz w:val="24"/>
          <w:szCs w:val="24"/>
        </w:rPr>
        <w:footnoteReference w:id="6"/>
      </w:r>
      <w:r>
        <w:rPr>
          <w:rFonts w:ascii="Verdana" w:hAnsi="Verdana" w:cs="Times New Roman"/>
          <w:sz w:val="24"/>
          <w:szCs w:val="24"/>
        </w:rPr>
        <w:t>.</w:t>
      </w:r>
    </w:p>
    <w:p w:rsidR="00543516" w:rsidRDefault="00D4637C"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 xml:space="preserve">Esta é a razão pela qual o legislador supremo declarou que </w:t>
      </w:r>
      <w:r w:rsidR="00212816">
        <w:rPr>
          <w:rFonts w:ascii="Verdana" w:hAnsi="Verdana" w:cs="Times New Roman"/>
          <w:sz w:val="24"/>
          <w:szCs w:val="24"/>
        </w:rPr>
        <w:t>a</w:t>
      </w:r>
      <w:r>
        <w:rPr>
          <w:rFonts w:ascii="Verdana" w:hAnsi="Verdana" w:cs="Times New Roman"/>
          <w:sz w:val="24"/>
          <w:szCs w:val="24"/>
        </w:rPr>
        <w:t>o contribuinte (pessoa física ou jurídica) EST</w:t>
      </w:r>
      <w:r w:rsidR="00212816">
        <w:rPr>
          <w:rFonts w:ascii="Verdana" w:hAnsi="Verdana" w:cs="Times New Roman"/>
          <w:sz w:val="24"/>
          <w:szCs w:val="24"/>
        </w:rPr>
        <w:t xml:space="preserve">ÃO </w:t>
      </w:r>
      <w:r>
        <w:rPr>
          <w:rFonts w:ascii="Verdana" w:hAnsi="Verdana" w:cs="Times New Roman"/>
          <w:sz w:val="24"/>
          <w:szCs w:val="24"/>
        </w:rPr>
        <w:t>GARANTID</w:t>
      </w:r>
      <w:r w:rsidR="00212816">
        <w:rPr>
          <w:rFonts w:ascii="Verdana" w:hAnsi="Verdana" w:cs="Times New Roman"/>
          <w:sz w:val="24"/>
          <w:szCs w:val="24"/>
        </w:rPr>
        <w:t>AS</w:t>
      </w:r>
      <w:r w:rsidR="00425C3F">
        <w:rPr>
          <w:rFonts w:ascii="Verdana" w:hAnsi="Verdana" w:cs="Times New Roman"/>
          <w:sz w:val="24"/>
          <w:szCs w:val="24"/>
        </w:rPr>
        <w:t xml:space="preserve"> a</w:t>
      </w:r>
      <w:r>
        <w:rPr>
          <w:rFonts w:ascii="Verdana" w:hAnsi="Verdana" w:cs="Times New Roman"/>
          <w:sz w:val="24"/>
          <w:szCs w:val="24"/>
        </w:rPr>
        <w:t xml:space="preserve">s </w:t>
      </w:r>
      <w:r>
        <w:rPr>
          <w:rFonts w:ascii="Verdana" w:hAnsi="Verdana" w:cs="Times New Roman"/>
          <w:sz w:val="24"/>
          <w:szCs w:val="24"/>
        </w:rPr>
        <w:lastRenderedPageBreak/>
        <w:t>limitações constitucionais</w:t>
      </w:r>
      <w:r w:rsidR="00212816">
        <w:rPr>
          <w:rFonts w:ascii="Verdana" w:hAnsi="Verdana" w:cs="Times New Roman"/>
          <w:sz w:val="24"/>
          <w:szCs w:val="24"/>
        </w:rPr>
        <w:t>,</w:t>
      </w:r>
      <w:r w:rsidR="00DA1CDC">
        <w:rPr>
          <w:rFonts w:ascii="Verdana" w:hAnsi="Verdana" w:cs="Times New Roman"/>
          <w:sz w:val="24"/>
          <w:szCs w:val="24"/>
        </w:rPr>
        <w:t xml:space="preserve"> nas hipóteses pela Carta da República previstas</w:t>
      </w:r>
      <w:r>
        <w:rPr>
          <w:rFonts w:ascii="Verdana" w:hAnsi="Verdana" w:cs="Times New Roman"/>
          <w:sz w:val="24"/>
          <w:szCs w:val="24"/>
        </w:rPr>
        <w:t>.</w:t>
      </w:r>
    </w:p>
    <w:p w:rsidR="00D4637C" w:rsidRDefault="00212816"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E</w:t>
      </w:r>
      <w:r w:rsidR="00D4637C">
        <w:rPr>
          <w:rFonts w:ascii="Verdana" w:hAnsi="Verdana" w:cs="Times New Roman"/>
          <w:sz w:val="24"/>
          <w:szCs w:val="24"/>
        </w:rPr>
        <w:t>ntre tais limitações estão as imunidades constitucionais, autênticas garantias colocadas pelo constituinte para que determinadas pessoas, em suas atividades, não sofram tributação pelo relevante serviço prestado à sociedade</w:t>
      </w:r>
      <w:r w:rsidR="00DA1CDC">
        <w:rPr>
          <w:rFonts w:ascii="Verdana" w:hAnsi="Verdana" w:cs="Times New Roman"/>
          <w:sz w:val="24"/>
          <w:szCs w:val="24"/>
        </w:rPr>
        <w:t xml:space="preserve"> </w:t>
      </w:r>
      <w:r>
        <w:rPr>
          <w:rFonts w:ascii="Verdana" w:hAnsi="Verdana" w:cs="Times New Roman"/>
          <w:sz w:val="24"/>
          <w:szCs w:val="24"/>
        </w:rPr>
        <w:t xml:space="preserve">(nas áreas da saúde, educação ou assistência social), </w:t>
      </w:r>
      <w:r w:rsidR="002A3345">
        <w:rPr>
          <w:rFonts w:ascii="Verdana" w:hAnsi="Verdana" w:cs="Times New Roman"/>
          <w:sz w:val="24"/>
          <w:szCs w:val="24"/>
        </w:rPr>
        <w:t xml:space="preserve"> ou </w:t>
      </w:r>
      <w:r>
        <w:rPr>
          <w:rFonts w:ascii="Verdana" w:hAnsi="Verdana" w:cs="Times New Roman"/>
          <w:sz w:val="24"/>
          <w:szCs w:val="24"/>
        </w:rPr>
        <w:t xml:space="preserve">por força do exercício de atividade religiosa, </w:t>
      </w:r>
      <w:r w:rsidR="00DA1CDC">
        <w:rPr>
          <w:rFonts w:ascii="Verdana" w:hAnsi="Verdana" w:cs="Times New Roman"/>
          <w:sz w:val="24"/>
          <w:szCs w:val="24"/>
        </w:rPr>
        <w:t>ou</w:t>
      </w:r>
      <w:r w:rsidR="002A3345">
        <w:rPr>
          <w:rFonts w:ascii="Verdana" w:hAnsi="Verdana" w:cs="Times New Roman"/>
          <w:sz w:val="24"/>
          <w:szCs w:val="24"/>
        </w:rPr>
        <w:t xml:space="preserve"> ainda</w:t>
      </w:r>
      <w:r w:rsidR="00DA1CDC">
        <w:rPr>
          <w:rFonts w:ascii="Verdana" w:hAnsi="Verdana" w:cs="Times New Roman"/>
          <w:sz w:val="24"/>
          <w:szCs w:val="24"/>
        </w:rPr>
        <w:t xml:space="preserve"> </w:t>
      </w:r>
      <w:r>
        <w:rPr>
          <w:rFonts w:ascii="Verdana" w:hAnsi="Verdana" w:cs="Times New Roman"/>
          <w:sz w:val="24"/>
          <w:szCs w:val="24"/>
        </w:rPr>
        <w:t xml:space="preserve">da </w:t>
      </w:r>
      <w:r w:rsidR="00DA1CDC">
        <w:rPr>
          <w:rFonts w:ascii="Verdana" w:hAnsi="Verdana" w:cs="Times New Roman"/>
          <w:sz w:val="24"/>
          <w:szCs w:val="24"/>
        </w:rPr>
        <w:t xml:space="preserve">liberdade de expressão </w:t>
      </w:r>
      <w:r w:rsidR="00DA1CDC">
        <w:rPr>
          <w:rStyle w:val="Refdenotaderodap"/>
          <w:rFonts w:ascii="Verdana" w:hAnsi="Verdana" w:cs="Times New Roman"/>
          <w:sz w:val="24"/>
          <w:szCs w:val="24"/>
        </w:rPr>
        <w:footnoteReference w:id="7"/>
      </w:r>
      <w:r w:rsidR="00D4637C">
        <w:rPr>
          <w:rFonts w:ascii="Verdana" w:hAnsi="Verdana" w:cs="Times New Roman"/>
          <w:sz w:val="24"/>
          <w:szCs w:val="24"/>
        </w:rPr>
        <w:t>.</w:t>
      </w:r>
    </w:p>
    <w:p w:rsidR="00D4637C" w:rsidRDefault="00212816"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lastRenderedPageBreak/>
        <w:t>As</w:t>
      </w:r>
      <w:r w:rsidR="001C7080">
        <w:rPr>
          <w:rFonts w:ascii="Verdana" w:hAnsi="Verdana" w:cs="Times New Roman"/>
          <w:sz w:val="24"/>
          <w:szCs w:val="24"/>
        </w:rPr>
        <w:t xml:space="preserve"> imunidades </w:t>
      </w:r>
      <w:r>
        <w:rPr>
          <w:rFonts w:ascii="Verdana" w:hAnsi="Verdana" w:cs="Times New Roman"/>
          <w:sz w:val="24"/>
          <w:szCs w:val="24"/>
        </w:rPr>
        <w:t xml:space="preserve">dirigidas </w:t>
      </w:r>
      <w:r w:rsidR="001C7080">
        <w:rPr>
          <w:rFonts w:ascii="Verdana" w:hAnsi="Verdana" w:cs="Times New Roman"/>
          <w:sz w:val="24"/>
          <w:szCs w:val="24"/>
        </w:rPr>
        <w:t>às entidades filantrópicas, sem fins lucrativos, comunitárias ou confessionais</w:t>
      </w:r>
      <w:r>
        <w:rPr>
          <w:rFonts w:ascii="Verdana" w:hAnsi="Verdana" w:cs="Times New Roman"/>
          <w:sz w:val="24"/>
          <w:szCs w:val="24"/>
        </w:rPr>
        <w:t>,</w:t>
      </w:r>
      <w:r w:rsidR="001C7080">
        <w:rPr>
          <w:rFonts w:ascii="Verdana" w:hAnsi="Verdana" w:cs="Times New Roman"/>
          <w:sz w:val="24"/>
          <w:szCs w:val="24"/>
        </w:rPr>
        <w:t xml:space="preserve"> </w:t>
      </w:r>
      <w:r>
        <w:rPr>
          <w:rFonts w:ascii="Verdana" w:hAnsi="Verdana" w:cs="Times New Roman"/>
          <w:sz w:val="24"/>
          <w:szCs w:val="24"/>
        </w:rPr>
        <w:t xml:space="preserve">visam </w:t>
      </w:r>
      <w:r w:rsidR="00DD0655">
        <w:rPr>
          <w:rFonts w:ascii="Verdana" w:hAnsi="Verdana" w:cs="Times New Roman"/>
          <w:sz w:val="24"/>
          <w:szCs w:val="24"/>
        </w:rPr>
        <w:t>incentivar a prestação de</w:t>
      </w:r>
      <w:r w:rsidR="001C7080">
        <w:rPr>
          <w:rFonts w:ascii="Verdana" w:hAnsi="Verdana" w:cs="Times New Roman"/>
          <w:sz w:val="24"/>
          <w:szCs w:val="24"/>
        </w:rPr>
        <w:t xml:space="preserve"> serviços </w:t>
      </w:r>
      <w:r w:rsidR="00DD0655">
        <w:rPr>
          <w:rFonts w:ascii="Verdana" w:hAnsi="Verdana" w:cs="Times New Roman"/>
          <w:sz w:val="24"/>
          <w:szCs w:val="24"/>
        </w:rPr>
        <w:t>à</w:t>
      </w:r>
      <w:r w:rsidR="001C7080">
        <w:rPr>
          <w:rFonts w:ascii="Verdana" w:hAnsi="Verdana" w:cs="Times New Roman"/>
          <w:sz w:val="24"/>
          <w:szCs w:val="24"/>
        </w:rPr>
        <w:t xml:space="preserve"> sociedade</w:t>
      </w:r>
      <w:r w:rsidR="00DD0655">
        <w:rPr>
          <w:rFonts w:ascii="Verdana" w:hAnsi="Verdana" w:cs="Times New Roman"/>
          <w:sz w:val="24"/>
          <w:szCs w:val="24"/>
        </w:rPr>
        <w:t>,</w:t>
      </w:r>
      <w:r w:rsidR="001C7080">
        <w:rPr>
          <w:rFonts w:ascii="Verdana" w:hAnsi="Verdana" w:cs="Times New Roman"/>
          <w:sz w:val="24"/>
          <w:szCs w:val="24"/>
        </w:rPr>
        <w:t xml:space="preserve"> no</w:t>
      </w:r>
      <w:r>
        <w:rPr>
          <w:rFonts w:ascii="Verdana" w:hAnsi="Verdana" w:cs="Times New Roman"/>
          <w:sz w:val="24"/>
          <w:szCs w:val="24"/>
        </w:rPr>
        <w:t>s</w:t>
      </w:r>
      <w:r w:rsidR="001C7080">
        <w:rPr>
          <w:rFonts w:ascii="Verdana" w:hAnsi="Verdana" w:cs="Times New Roman"/>
          <w:sz w:val="24"/>
          <w:szCs w:val="24"/>
        </w:rPr>
        <w:t xml:space="preserve"> setor</w:t>
      </w:r>
      <w:r>
        <w:rPr>
          <w:rFonts w:ascii="Verdana" w:hAnsi="Verdana" w:cs="Times New Roman"/>
          <w:sz w:val="24"/>
          <w:szCs w:val="24"/>
        </w:rPr>
        <w:t>es</w:t>
      </w:r>
      <w:r w:rsidR="001C7080">
        <w:rPr>
          <w:rFonts w:ascii="Verdana" w:hAnsi="Verdana" w:cs="Times New Roman"/>
          <w:sz w:val="24"/>
          <w:szCs w:val="24"/>
        </w:rPr>
        <w:t xml:space="preserve"> de educação</w:t>
      </w:r>
      <w:r>
        <w:rPr>
          <w:rFonts w:ascii="Verdana" w:hAnsi="Verdana" w:cs="Times New Roman"/>
          <w:sz w:val="24"/>
          <w:szCs w:val="24"/>
        </w:rPr>
        <w:t xml:space="preserve">, </w:t>
      </w:r>
      <w:r w:rsidR="001C7080">
        <w:rPr>
          <w:rFonts w:ascii="Verdana" w:hAnsi="Verdana" w:cs="Times New Roman"/>
          <w:sz w:val="24"/>
          <w:szCs w:val="24"/>
        </w:rPr>
        <w:t>saúde</w:t>
      </w:r>
      <w:r>
        <w:rPr>
          <w:rFonts w:ascii="Verdana" w:hAnsi="Verdana" w:cs="Times New Roman"/>
          <w:sz w:val="24"/>
          <w:szCs w:val="24"/>
        </w:rPr>
        <w:t xml:space="preserve"> e assistência social</w:t>
      </w:r>
      <w:r w:rsidR="001C7080">
        <w:rPr>
          <w:rFonts w:ascii="Verdana" w:hAnsi="Verdana" w:cs="Times New Roman"/>
          <w:sz w:val="24"/>
          <w:szCs w:val="24"/>
        </w:rPr>
        <w:t>, fazendo pela sociedade o que os governos deveriam fazer e não fazem, recebendo em troca</w:t>
      </w:r>
      <w:r w:rsidR="00DD0655">
        <w:rPr>
          <w:rFonts w:ascii="Verdana" w:hAnsi="Verdana" w:cs="Times New Roman"/>
          <w:sz w:val="24"/>
          <w:szCs w:val="24"/>
        </w:rPr>
        <w:t>,</w:t>
      </w:r>
      <w:r w:rsidR="001C7080">
        <w:rPr>
          <w:rFonts w:ascii="Verdana" w:hAnsi="Verdana" w:cs="Times New Roman"/>
          <w:sz w:val="24"/>
          <w:szCs w:val="24"/>
        </w:rPr>
        <w:t xml:space="preserve"> como modest</w:t>
      </w:r>
      <w:r w:rsidR="00DD0655">
        <w:rPr>
          <w:rFonts w:ascii="Verdana" w:hAnsi="Verdana" w:cs="Times New Roman"/>
          <w:sz w:val="24"/>
          <w:szCs w:val="24"/>
        </w:rPr>
        <w:t>a contrapartida,</w:t>
      </w:r>
      <w:r w:rsidR="001C7080">
        <w:rPr>
          <w:rFonts w:ascii="Verdana" w:hAnsi="Verdana" w:cs="Times New Roman"/>
          <w:sz w:val="24"/>
          <w:szCs w:val="24"/>
        </w:rPr>
        <w:t xml:space="preserve"> a eliminação de contribuições sociais e impostos </w:t>
      </w:r>
      <w:r w:rsidR="001C7080">
        <w:rPr>
          <w:rStyle w:val="Refdenotaderodap"/>
          <w:rFonts w:ascii="Verdana" w:hAnsi="Verdana" w:cs="Times New Roman"/>
          <w:sz w:val="24"/>
          <w:szCs w:val="24"/>
        </w:rPr>
        <w:footnoteReference w:id="8"/>
      </w:r>
      <w:r w:rsidR="001C7080">
        <w:rPr>
          <w:rFonts w:ascii="Verdana" w:hAnsi="Verdana" w:cs="Times New Roman"/>
          <w:sz w:val="24"/>
          <w:szCs w:val="24"/>
        </w:rPr>
        <w:t>.</w:t>
      </w:r>
    </w:p>
    <w:p w:rsidR="00543516" w:rsidRDefault="001C7080"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lastRenderedPageBreak/>
        <w:t>Os dados levantados pela consulente sobre a contrapartida que as entidades mencionadas dão ao governo e à sociedade em troca</w:t>
      </w:r>
      <w:r w:rsidR="00271E7E">
        <w:rPr>
          <w:rFonts w:ascii="Verdana" w:hAnsi="Verdana" w:cs="Times New Roman"/>
          <w:sz w:val="24"/>
          <w:szCs w:val="24"/>
        </w:rPr>
        <w:t xml:space="preserve"> das referidas desonerações</w:t>
      </w:r>
      <w:r w:rsidR="00DD0655">
        <w:rPr>
          <w:rFonts w:ascii="Verdana" w:hAnsi="Verdana" w:cs="Times New Roman"/>
          <w:sz w:val="24"/>
          <w:szCs w:val="24"/>
        </w:rPr>
        <w:t>,</w:t>
      </w:r>
      <w:r w:rsidR="00271E7E">
        <w:rPr>
          <w:rFonts w:ascii="Verdana" w:hAnsi="Verdana" w:cs="Times New Roman"/>
          <w:sz w:val="24"/>
          <w:szCs w:val="24"/>
        </w:rPr>
        <w:t xml:space="preserve"> é paradigmático. Reproduzo apenas alguns elementos comparativos que a consulente</w:t>
      </w:r>
      <w:r w:rsidR="0067716D">
        <w:rPr>
          <w:rFonts w:ascii="Verdana" w:hAnsi="Verdana" w:cs="Times New Roman"/>
          <w:sz w:val="24"/>
          <w:szCs w:val="24"/>
        </w:rPr>
        <w:t>,</w:t>
      </w:r>
      <w:r w:rsidR="00271E7E">
        <w:rPr>
          <w:rFonts w:ascii="Verdana" w:hAnsi="Verdana" w:cs="Times New Roman"/>
          <w:sz w:val="24"/>
          <w:szCs w:val="24"/>
        </w:rPr>
        <w:t xml:space="preserve"> contratando auditoria de renome internacional</w:t>
      </w:r>
      <w:r w:rsidR="0067716D">
        <w:rPr>
          <w:rFonts w:ascii="Verdana" w:hAnsi="Verdana" w:cs="Times New Roman"/>
          <w:sz w:val="24"/>
          <w:szCs w:val="24"/>
        </w:rPr>
        <w:t>,</w:t>
      </w:r>
      <w:r w:rsidR="00271E7E">
        <w:rPr>
          <w:rFonts w:ascii="Verdana" w:hAnsi="Verdana" w:cs="Times New Roman"/>
          <w:sz w:val="24"/>
          <w:szCs w:val="24"/>
        </w:rPr>
        <w:t xml:space="preserve"> constatou:</w:t>
      </w:r>
    </w:p>
    <w:p w:rsidR="00271E7E" w:rsidRPr="00554205" w:rsidRDefault="00271E7E" w:rsidP="00554205">
      <w:pPr>
        <w:spacing w:after="0" w:line="240" w:lineRule="auto"/>
        <w:ind w:left="1134"/>
        <w:jc w:val="both"/>
        <w:rPr>
          <w:rFonts w:ascii="Verdana" w:hAnsi="Verdana" w:cs="Times New Roman"/>
          <w:i/>
          <w:sz w:val="24"/>
          <w:szCs w:val="24"/>
        </w:rPr>
      </w:pPr>
      <w:r w:rsidRPr="00554205">
        <w:rPr>
          <w:rFonts w:ascii="Verdana" w:hAnsi="Verdana" w:cs="Times New Roman"/>
          <w:i/>
          <w:sz w:val="24"/>
          <w:szCs w:val="24"/>
        </w:rPr>
        <w:t>“Na Educação Superior, são 324 instituições (</w:t>
      </w:r>
      <w:proofErr w:type="spellStart"/>
      <w:r w:rsidRPr="00554205">
        <w:rPr>
          <w:rFonts w:ascii="Verdana" w:hAnsi="Verdana" w:cs="Times New Roman"/>
          <w:i/>
          <w:sz w:val="24"/>
          <w:szCs w:val="24"/>
        </w:rPr>
        <w:t>lES</w:t>
      </w:r>
      <w:proofErr w:type="spellEnd"/>
      <w:r w:rsidRPr="00554205">
        <w:rPr>
          <w:rFonts w:ascii="Verdana" w:hAnsi="Verdana" w:cs="Times New Roman"/>
          <w:i/>
          <w:sz w:val="24"/>
          <w:szCs w:val="24"/>
        </w:rPr>
        <w:t>) que representam 14% do total das universidades e faculdades do país. Estas instituições atendem 17% dos 7,3 milhões de alunos cursando o ensino superior, 16,8% dos 394 mil funcionários que trabalham na educação</w:t>
      </w:r>
      <w:r w:rsidR="00425C3F">
        <w:rPr>
          <w:rFonts w:ascii="Verdana" w:hAnsi="Verdana" w:cs="Times New Roman"/>
          <w:i/>
          <w:sz w:val="24"/>
          <w:szCs w:val="24"/>
        </w:rPr>
        <w:t xml:space="preserve"> superior e respondem por 25% do</w:t>
      </w:r>
      <w:r w:rsidRPr="00554205">
        <w:rPr>
          <w:rFonts w:ascii="Verdana" w:hAnsi="Verdana" w:cs="Times New Roman"/>
          <w:i/>
          <w:sz w:val="24"/>
          <w:szCs w:val="24"/>
        </w:rPr>
        <w:t xml:space="preserve">s 2 milhões de bolsas de estudo e do financiamento estudantil no país (inclui PROUNI e FIES). Na Educação Básica, são 1.755 escolas que atendem 1 milhão de </w:t>
      </w:r>
      <w:r w:rsidRPr="00554205">
        <w:rPr>
          <w:rFonts w:ascii="Verdana" w:hAnsi="Verdana" w:cs="Times New Roman"/>
          <w:i/>
          <w:sz w:val="24"/>
          <w:szCs w:val="24"/>
        </w:rPr>
        <w:lastRenderedPageBreak/>
        <w:t>alunos e empregam cerca de 138 mil funcionários, disponibilizando aos alunos 204 mil bolsas de estudo.</w:t>
      </w:r>
    </w:p>
    <w:p w:rsidR="00271E7E" w:rsidRPr="00554205" w:rsidRDefault="00271E7E" w:rsidP="00554205">
      <w:pPr>
        <w:spacing w:after="0" w:line="240" w:lineRule="auto"/>
        <w:ind w:left="1134"/>
        <w:jc w:val="both"/>
        <w:rPr>
          <w:rFonts w:ascii="Verdana" w:hAnsi="Verdana" w:cs="Times New Roman"/>
          <w:i/>
          <w:sz w:val="24"/>
          <w:szCs w:val="24"/>
        </w:rPr>
      </w:pPr>
      <w:r w:rsidRPr="00554205">
        <w:rPr>
          <w:rFonts w:ascii="Verdana" w:hAnsi="Verdana" w:cs="Times New Roman"/>
          <w:i/>
          <w:sz w:val="24"/>
          <w:szCs w:val="24"/>
        </w:rPr>
        <w:t>Na Saúde, são 1.393 estabelecimentos responsáveis por 3,57 milhões de internações hospitalares (31% de todas as internações realizadas no país em 2015), disponibilizam 182.446 leitos (31% dos leitos existentes no país) e empregam 251.526 funcionários (10% de todos os funcionários que trabalham com Saúde no país incluindo o funcionalismo público).</w:t>
      </w:r>
    </w:p>
    <w:p w:rsidR="00271E7E" w:rsidRPr="00554205" w:rsidRDefault="00271E7E" w:rsidP="00554205">
      <w:pPr>
        <w:spacing w:after="0" w:line="240" w:lineRule="auto"/>
        <w:ind w:left="1134"/>
        <w:jc w:val="both"/>
        <w:rPr>
          <w:rFonts w:ascii="Verdana" w:hAnsi="Verdana" w:cs="Times New Roman"/>
          <w:i/>
          <w:sz w:val="24"/>
          <w:szCs w:val="24"/>
        </w:rPr>
      </w:pPr>
      <w:r w:rsidRPr="00554205">
        <w:rPr>
          <w:rFonts w:ascii="Verdana" w:hAnsi="Verdana" w:cs="Times New Roman"/>
          <w:i/>
          <w:sz w:val="24"/>
          <w:szCs w:val="24"/>
        </w:rPr>
        <w:t xml:space="preserve">Na Assistência Social, são 4.930 entidades (14,2% do total de entidades sociais no pais) que empregam 433.089 funcionários (65% de todos os funcionários que trabalham na rede </w:t>
      </w:r>
      <w:r w:rsidR="00425C3F">
        <w:rPr>
          <w:rFonts w:ascii="Verdana" w:hAnsi="Verdana" w:cs="Times New Roman"/>
          <w:i/>
          <w:sz w:val="24"/>
          <w:szCs w:val="24"/>
        </w:rPr>
        <w:t xml:space="preserve">sócio </w:t>
      </w:r>
      <w:r w:rsidR="0017131B" w:rsidRPr="00554205">
        <w:rPr>
          <w:rFonts w:ascii="Verdana" w:hAnsi="Verdana" w:cs="Times New Roman"/>
          <w:i/>
          <w:sz w:val="24"/>
          <w:szCs w:val="24"/>
        </w:rPr>
        <w:t>assistencial</w:t>
      </w:r>
      <w:r w:rsidRPr="00554205">
        <w:rPr>
          <w:rFonts w:ascii="Verdana" w:hAnsi="Verdana" w:cs="Times New Roman"/>
          <w:i/>
          <w:sz w:val="24"/>
          <w:szCs w:val="24"/>
        </w:rPr>
        <w:t xml:space="preserve"> - não governamental) e disponibilizam 4,8 milhões de vagas de atendimento (62,7% de todas as vagas rede </w:t>
      </w:r>
      <w:r w:rsidR="0017131B">
        <w:rPr>
          <w:rFonts w:ascii="Verdana" w:hAnsi="Verdana" w:cs="Times New Roman"/>
          <w:i/>
          <w:sz w:val="24"/>
          <w:szCs w:val="24"/>
        </w:rPr>
        <w:t xml:space="preserve">sócio </w:t>
      </w:r>
      <w:r w:rsidR="0017131B" w:rsidRPr="00554205">
        <w:rPr>
          <w:rFonts w:ascii="Verdana" w:hAnsi="Verdana" w:cs="Times New Roman"/>
          <w:i/>
          <w:sz w:val="24"/>
          <w:szCs w:val="24"/>
        </w:rPr>
        <w:t>assistencial</w:t>
      </w:r>
      <w:r w:rsidRPr="00554205">
        <w:rPr>
          <w:rFonts w:ascii="Verdana" w:hAnsi="Verdana" w:cs="Times New Roman"/>
          <w:i/>
          <w:sz w:val="24"/>
          <w:szCs w:val="24"/>
        </w:rPr>
        <w:t>), dentro dos diversos graus de complexidade da tipificação dos serviços sociais, abrangendo desde os serviços de fortalecimento de vínculos até os acolhimentos institucionais em asilos, abrigos e creches"</w:t>
      </w:r>
    </w:p>
    <w:p w:rsidR="00271E7E" w:rsidRPr="00554205" w:rsidRDefault="00271E7E" w:rsidP="00554205">
      <w:pPr>
        <w:spacing w:after="0" w:line="240" w:lineRule="auto"/>
        <w:ind w:left="1134"/>
        <w:jc w:val="both"/>
        <w:rPr>
          <w:rFonts w:ascii="Verdana" w:hAnsi="Verdana" w:cs="Times New Roman"/>
          <w:i/>
          <w:sz w:val="24"/>
          <w:szCs w:val="24"/>
        </w:rPr>
      </w:pPr>
      <w:r w:rsidRPr="00554205">
        <w:rPr>
          <w:rFonts w:ascii="Verdana" w:hAnsi="Verdana" w:cs="Times New Roman"/>
          <w:i/>
          <w:sz w:val="24"/>
          <w:szCs w:val="24"/>
        </w:rPr>
        <w:t>E toda essa prestação de serviços "custa" para o Estado "2,7% do total da arrecadação da Previdência Social" e 3,3% do total da arrecadação proveniente de Empresas e Entidades Equiparadas. Confira-se:</w:t>
      </w:r>
    </w:p>
    <w:p w:rsidR="00BB29A7" w:rsidRDefault="008059CD" w:rsidP="00554205">
      <w:pPr>
        <w:spacing w:after="0" w:line="240" w:lineRule="auto"/>
        <w:ind w:left="1134"/>
        <w:jc w:val="both"/>
        <w:rPr>
          <w:rFonts w:ascii="Verdana" w:hAnsi="Verdana" w:cs="Times New Roman"/>
          <w:sz w:val="24"/>
          <w:szCs w:val="24"/>
        </w:rPr>
      </w:pPr>
      <w:r w:rsidRPr="008059CD">
        <w:rPr>
          <w:rFonts w:ascii="Verdana" w:hAnsi="Verdana" w:cs="Times New Roman"/>
          <w:noProof/>
          <w:sz w:val="24"/>
          <w:szCs w:val="24"/>
          <w:lang w:eastAsia="pt-BR"/>
        </w:rPr>
        <w:drawing>
          <wp:inline distT="0" distB="0" distL="0" distR="0">
            <wp:extent cx="5400040" cy="2325656"/>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325656"/>
                    </a:xfrm>
                    <a:prstGeom prst="rect">
                      <a:avLst/>
                    </a:prstGeom>
                    <a:noFill/>
                    <a:ln>
                      <a:noFill/>
                    </a:ln>
                  </pic:spPr>
                </pic:pic>
              </a:graphicData>
            </a:graphic>
          </wp:inline>
        </w:drawing>
      </w:r>
    </w:p>
    <w:p w:rsidR="00271E7E" w:rsidRPr="00554205" w:rsidRDefault="00271E7E" w:rsidP="00554205">
      <w:pPr>
        <w:spacing w:after="0" w:line="240" w:lineRule="auto"/>
        <w:ind w:left="1134"/>
        <w:jc w:val="both"/>
        <w:rPr>
          <w:rFonts w:ascii="Verdana" w:hAnsi="Verdana" w:cs="Times New Roman"/>
          <w:i/>
          <w:sz w:val="24"/>
          <w:szCs w:val="24"/>
        </w:rPr>
      </w:pPr>
      <w:r w:rsidRPr="00554205">
        <w:rPr>
          <w:rFonts w:ascii="Verdana" w:hAnsi="Verdana" w:cs="Times New Roman"/>
          <w:i/>
          <w:sz w:val="24"/>
          <w:szCs w:val="24"/>
        </w:rPr>
        <w:t>Em termos absolutos, nesses três anos, as chamadas "filantrópicas" representaram para a Previdência, renúncia de R$ 27 bi, o que importa em valor inferior a 20% do total das isenções:</w:t>
      </w:r>
    </w:p>
    <w:p w:rsidR="00543516" w:rsidRDefault="008059CD" w:rsidP="00554205">
      <w:pPr>
        <w:spacing w:after="0" w:line="240" w:lineRule="auto"/>
        <w:ind w:left="1134"/>
        <w:jc w:val="both"/>
        <w:rPr>
          <w:rFonts w:ascii="Verdana" w:hAnsi="Verdana" w:cs="Times New Roman"/>
          <w:sz w:val="24"/>
          <w:szCs w:val="24"/>
        </w:rPr>
      </w:pPr>
      <w:r w:rsidRPr="008059CD">
        <w:rPr>
          <w:rFonts w:ascii="Verdana" w:hAnsi="Verdana" w:cs="Times New Roman"/>
          <w:noProof/>
          <w:sz w:val="24"/>
          <w:szCs w:val="24"/>
          <w:lang w:eastAsia="pt-BR"/>
        </w:rPr>
        <w:lastRenderedPageBreak/>
        <w:drawing>
          <wp:inline distT="0" distB="0" distL="0" distR="0">
            <wp:extent cx="5400040" cy="2356082"/>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2356082"/>
                    </a:xfrm>
                    <a:prstGeom prst="rect">
                      <a:avLst/>
                    </a:prstGeom>
                    <a:noFill/>
                    <a:ln>
                      <a:noFill/>
                    </a:ln>
                  </pic:spPr>
                </pic:pic>
              </a:graphicData>
            </a:graphic>
          </wp:inline>
        </w:drawing>
      </w:r>
    </w:p>
    <w:p w:rsidR="00543516" w:rsidRPr="00554205" w:rsidRDefault="008059CD" w:rsidP="00554205">
      <w:pPr>
        <w:autoSpaceDE w:val="0"/>
        <w:autoSpaceDN w:val="0"/>
        <w:adjustRightInd w:val="0"/>
        <w:spacing w:after="0" w:line="240" w:lineRule="auto"/>
        <w:ind w:left="1134"/>
        <w:jc w:val="both"/>
        <w:rPr>
          <w:rFonts w:ascii="Verdana" w:hAnsi="Verdana" w:cs="Times New Roman"/>
          <w:i/>
          <w:sz w:val="24"/>
          <w:szCs w:val="24"/>
        </w:rPr>
      </w:pPr>
      <w:r w:rsidRPr="00554205">
        <w:rPr>
          <w:rFonts w:ascii="Verdana" w:hAnsi="Verdana" w:cs="Times New Roman"/>
          <w:i/>
          <w:sz w:val="24"/>
          <w:szCs w:val="24"/>
        </w:rPr>
        <w:t xml:space="preserve">Ocorre que para R$ 100 de isenção, as "filantrópicas" da saúde, beneficiam a sociedade com mais de R$ 635. No setor de assistência social, a cada R$ </w:t>
      </w:r>
      <w:r w:rsidRPr="00554205">
        <w:rPr>
          <w:rFonts w:ascii="Verdana" w:hAnsi="Verdana" w:cs="Arial"/>
          <w:i/>
          <w:sz w:val="24"/>
          <w:szCs w:val="24"/>
        </w:rPr>
        <w:t xml:space="preserve">100 </w:t>
      </w:r>
      <w:r w:rsidRPr="00554205">
        <w:rPr>
          <w:rFonts w:ascii="Verdana" w:hAnsi="Verdana" w:cs="Times New Roman"/>
          <w:i/>
          <w:sz w:val="24"/>
          <w:szCs w:val="24"/>
        </w:rPr>
        <w:t>reais que a entidade deixa de recolher a título de tributos dispende ainda mais R$ 473 para desempenhar suas atividades caritativas. E, na educação, as entidades desembolsam R$ 286 para cada R$100 de isenção, aplicando, portanto, em prol da sociedade, 3,86 vezes o que recolheriam para o Erário. A contrapartida de cada um dos setores desonerados é assim compilada no estudo do FONIF:</w:t>
      </w:r>
    </w:p>
    <w:p w:rsidR="00731FB3" w:rsidRDefault="008059CD" w:rsidP="00554205">
      <w:pPr>
        <w:spacing w:after="0" w:line="240" w:lineRule="auto"/>
        <w:ind w:left="1134"/>
        <w:jc w:val="both"/>
        <w:rPr>
          <w:rFonts w:ascii="Verdana" w:hAnsi="Verdana" w:cs="Times New Roman"/>
          <w:sz w:val="24"/>
          <w:szCs w:val="24"/>
        </w:rPr>
      </w:pPr>
      <w:r w:rsidRPr="008059CD">
        <w:rPr>
          <w:rFonts w:ascii="Verdana" w:hAnsi="Verdana" w:cs="Times New Roman"/>
          <w:noProof/>
          <w:sz w:val="24"/>
          <w:szCs w:val="24"/>
          <w:lang w:eastAsia="pt-BR"/>
        </w:rPr>
        <w:drawing>
          <wp:inline distT="0" distB="0" distL="0" distR="0">
            <wp:extent cx="5400040" cy="2697998"/>
            <wp:effectExtent l="0" t="0" r="0" b="762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2697998"/>
                    </a:xfrm>
                    <a:prstGeom prst="rect">
                      <a:avLst/>
                    </a:prstGeom>
                    <a:noFill/>
                    <a:ln>
                      <a:noFill/>
                    </a:ln>
                  </pic:spPr>
                </pic:pic>
              </a:graphicData>
            </a:graphic>
          </wp:inline>
        </w:drawing>
      </w:r>
    </w:p>
    <w:p w:rsidR="00731FB3" w:rsidRDefault="008059CD" w:rsidP="00554205">
      <w:pPr>
        <w:autoSpaceDE w:val="0"/>
        <w:autoSpaceDN w:val="0"/>
        <w:adjustRightInd w:val="0"/>
        <w:spacing w:after="0" w:line="240" w:lineRule="auto"/>
        <w:ind w:left="1134"/>
        <w:jc w:val="both"/>
        <w:rPr>
          <w:rFonts w:ascii="Verdana" w:hAnsi="Verdana" w:cs="Times New Roman"/>
          <w:sz w:val="24"/>
          <w:szCs w:val="24"/>
        </w:rPr>
      </w:pPr>
      <w:r w:rsidRPr="00554205">
        <w:rPr>
          <w:rFonts w:ascii="Verdana" w:hAnsi="Verdana" w:cs="Times New Roman"/>
          <w:i/>
          <w:sz w:val="24"/>
          <w:szCs w:val="24"/>
        </w:rPr>
        <w:t xml:space="preserve">O terceiro setor gera, segundo esse mesmo trabalho, 1.300.000 de empregos, constituindo, também por essa </w:t>
      </w:r>
      <w:r w:rsidRPr="00554205">
        <w:rPr>
          <w:rFonts w:ascii="Verdana" w:hAnsi="Verdana" w:cs="Times New Roman"/>
          <w:i/>
          <w:sz w:val="24"/>
          <w:szCs w:val="24"/>
        </w:rPr>
        <w:lastRenderedPageBreak/>
        <w:t xml:space="preserve">razão, foça motriz na erradicação da pobreza e da desigualdade social, um dos objetivos fundamentais da República” </w:t>
      </w:r>
      <w:r>
        <w:rPr>
          <w:rStyle w:val="Refdenotaderodap"/>
          <w:rFonts w:ascii="Times New Roman" w:hAnsi="Times New Roman" w:cs="Times New Roman"/>
          <w:sz w:val="24"/>
          <w:szCs w:val="24"/>
        </w:rPr>
        <w:footnoteReference w:id="9"/>
      </w:r>
      <w:r>
        <w:rPr>
          <w:rFonts w:ascii="Times New Roman" w:hAnsi="Times New Roman" w:cs="Times New Roman"/>
          <w:sz w:val="24"/>
          <w:szCs w:val="24"/>
        </w:rPr>
        <w:t>.</w:t>
      </w:r>
    </w:p>
    <w:p w:rsidR="00731FB3" w:rsidRDefault="00554205"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Como se percebe, a úni</w:t>
      </w:r>
      <w:r w:rsidR="00425C3F">
        <w:rPr>
          <w:rFonts w:ascii="Verdana" w:hAnsi="Verdana" w:cs="Times New Roman"/>
          <w:sz w:val="24"/>
          <w:szCs w:val="24"/>
        </w:rPr>
        <w:t>ca colaboração que o Estado dá a</w:t>
      </w:r>
      <w:r>
        <w:rPr>
          <w:rFonts w:ascii="Verdana" w:hAnsi="Verdana" w:cs="Times New Roman"/>
          <w:sz w:val="24"/>
          <w:szCs w:val="24"/>
        </w:rPr>
        <w:t xml:space="preserve"> esta</w:t>
      </w:r>
      <w:r w:rsidR="0067716D">
        <w:rPr>
          <w:rFonts w:ascii="Verdana" w:hAnsi="Verdana" w:cs="Times New Roman"/>
          <w:sz w:val="24"/>
          <w:szCs w:val="24"/>
        </w:rPr>
        <w:t>s</w:t>
      </w:r>
      <w:r>
        <w:rPr>
          <w:rFonts w:ascii="Verdana" w:hAnsi="Verdana" w:cs="Times New Roman"/>
          <w:sz w:val="24"/>
          <w:szCs w:val="24"/>
        </w:rPr>
        <w:t xml:space="preserve"> entidade</w:t>
      </w:r>
      <w:r w:rsidR="0067716D">
        <w:rPr>
          <w:rFonts w:ascii="Verdana" w:hAnsi="Verdana" w:cs="Times New Roman"/>
          <w:sz w:val="24"/>
          <w:szCs w:val="24"/>
        </w:rPr>
        <w:t>s</w:t>
      </w:r>
      <w:r>
        <w:rPr>
          <w:rFonts w:ascii="Verdana" w:hAnsi="Verdana" w:cs="Times New Roman"/>
          <w:sz w:val="24"/>
          <w:szCs w:val="24"/>
        </w:rPr>
        <w:t xml:space="preserve"> que faz</w:t>
      </w:r>
      <w:r w:rsidR="0067716D">
        <w:rPr>
          <w:rFonts w:ascii="Verdana" w:hAnsi="Verdana" w:cs="Times New Roman"/>
          <w:sz w:val="24"/>
          <w:szCs w:val="24"/>
        </w:rPr>
        <w:t>em</w:t>
      </w:r>
      <w:r>
        <w:rPr>
          <w:rFonts w:ascii="Verdana" w:hAnsi="Verdana" w:cs="Times New Roman"/>
          <w:sz w:val="24"/>
          <w:szCs w:val="24"/>
        </w:rPr>
        <w:t xml:space="preserve"> o que os Governos deveriam fazer com nossos tributos e não o fazem</w:t>
      </w:r>
      <w:r w:rsidR="0067716D">
        <w:rPr>
          <w:rFonts w:ascii="Verdana" w:hAnsi="Verdana" w:cs="Times New Roman"/>
          <w:sz w:val="24"/>
          <w:szCs w:val="24"/>
        </w:rPr>
        <w:t>,</w:t>
      </w:r>
      <w:r>
        <w:rPr>
          <w:rFonts w:ascii="Verdana" w:hAnsi="Verdana" w:cs="Times New Roman"/>
          <w:sz w:val="24"/>
          <w:szCs w:val="24"/>
        </w:rPr>
        <w:t xml:space="preserve"> é a desoneração tributária </w:t>
      </w:r>
      <w:r w:rsidR="00DD0655">
        <w:rPr>
          <w:rFonts w:ascii="Verdana" w:hAnsi="Verdana" w:cs="Times New Roman"/>
          <w:sz w:val="24"/>
          <w:szCs w:val="24"/>
        </w:rPr>
        <w:t>em troca do</w:t>
      </w:r>
      <w:r>
        <w:rPr>
          <w:rFonts w:ascii="Verdana" w:hAnsi="Verdana" w:cs="Times New Roman"/>
          <w:sz w:val="24"/>
          <w:szCs w:val="24"/>
        </w:rPr>
        <w:t xml:space="preserve"> estupendo traba</w:t>
      </w:r>
      <w:r w:rsidR="0067716D">
        <w:rPr>
          <w:rFonts w:ascii="Verdana" w:hAnsi="Verdana" w:cs="Times New Roman"/>
          <w:sz w:val="24"/>
          <w:szCs w:val="24"/>
        </w:rPr>
        <w:t>lho que devolvem, muitas delas cen</w:t>
      </w:r>
      <w:r>
        <w:rPr>
          <w:rFonts w:ascii="Verdana" w:hAnsi="Verdana" w:cs="Times New Roman"/>
          <w:sz w:val="24"/>
          <w:szCs w:val="24"/>
        </w:rPr>
        <w:t>ten</w:t>
      </w:r>
      <w:r w:rsidR="0067716D">
        <w:rPr>
          <w:rFonts w:ascii="Verdana" w:hAnsi="Verdana" w:cs="Times New Roman"/>
          <w:sz w:val="24"/>
          <w:szCs w:val="24"/>
        </w:rPr>
        <w:t>árias</w:t>
      </w:r>
      <w:r w:rsidR="00DD0655">
        <w:rPr>
          <w:rFonts w:ascii="Verdana" w:hAnsi="Verdana" w:cs="Times New Roman"/>
          <w:sz w:val="24"/>
          <w:szCs w:val="24"/>
        </w:rPr>
        <w:t>,</w:t>
      </w:r>
      <w:r>
        <w:rPr>
          <w:rFonts w:ascii="Verdana" w:hAnsi="Verdana" w:cs="Times New Roman"/>
          <w:sz w:val="24"/>
          <w:szCs w:val="24"/>
        </w:rPr>
        <w:t xml:space="preserve"> como as Universidades Mackenzie, a Beneficência Portuguesa, </w:t>
      </w:r>
      <w:r w:rsidR="00DD0655">
        <w:rPr>
          <w:rFonts w:ascii="Verdana" w:hAnsi="Verdana" w:cs="Times New Roman"/>
          <w:sz w:val="24"/>
          <w:szCs w:val="24"/>
        </w:rPr>
        <w:t xml:space="preserve">e </w:t>
      </w:r>
      <w:r>
        <w:rPr>
          <w:rFonts w:ascii="Verdana" w:hAnsi="Verdana" w:cs="Times New Roman"/>
          <w:sz w:val="24"/>
          <w:szCs w:val="24"/>
        </w:rPr>
        <w:t>outras</w:t>
      </w:r>
      <w:r w:rsidR="0067716D">
        <w:rPr>
          <w:rFonts w:ascii="Verdana" w:hAnsi="Verdana" w:cs="Times New Roman"/>
          <w:sz w:val="24"/>
          <w:szCs w:val="24"/>
        </w:rPr>
        <w:t xml:space="preserve"> com mais de meio século </w:t>
      </w:r>
      <w:r w:rsidR="00DD0655">
        <w:rPr>
          <w:rFonts w:ascii="Verdana" w:hAnsi="Verdana" w:cs="Times New Roman"/>
          <w:sz w:val="24"/>
          <w:szCs w:val="24"/>
        </w:rPr>
        <w:t xml:space="preserve">de atuação, </w:t>
      </w:r>
      <w:r>
        <w:rPr>
          <w:rFonts w:ascii="Verdana" w:hAnsi="Verdana" w:cs="Times New Roman"/>
          <w:sz w:val="24"/>
          <w:szCs w:val="24"/>
        </w:rPr>
        <w:t xml:space="preserve">como as diversas </w:t>
      </w:r>
      <w:proofErr w:type="spellStart"/>
      <w:r>
        <w:rPr>
          <w:rFonts w:ascii="Verdana" w:hAnsi="Verdana" w:cs="Times New Roman"/>
          <w:sz w:val="24"/>
          <w:szCs w:val="24"/>
        </w:rPr>
        <w:t>PUCs</w:t>
      </w:r>
      <w:proofErr w:type="spellEnd"/>
      <w:r>
        <w:rPr>
          <w:rFonts w:ascii="Verdana" w:hAnsi="Verdana" w:cs="Times New Roman"/>
          <w:sz w:val="24"/>
          <w:szCs w:val="24"/>
        </w:rPr>
        <w:t xml:space="preserve"> espalhadas pelo Brasil.</w:t>
      </w:r>
    </w:p>
    <w:p w:rsidR="00554205" w:rsidRDefault="00554205"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Não há que se confundir estas entidades com aquilo que pessoas desinformadas</w:t>
      </w:r>
      <w:r w:rsidR="0050212D">
        <w:rPr>
          <w:rFonts w:ascii="Verdana" w:hAnsi="Verdana" w:cs="Times New Roman"/>
          <w:sz w:val="24"/>
          <w:szCs w:val="24"/>
        </w:rPr>
        <w:t xml:space="preserve"> </w:t>
      </w:r>
      <w:r w:rsidR="00DD0655">
        <w:rPr>
          <w:rFonts w:ascii="Verdana" w:hAnsi="Verdana" w:cs="Times New Roman"/>
          <w:sz w:val="24"/>
          <w:szCs w:val="24"/>
        </w:rPr>
        <w:t>- ou agentes públicos que querem se eximir do poder dever de fiscalizar -</w:t>
      </w:r>
      <w:r w:rsidR="0050212D">
        <w:rPr>
          <w:rFonts w:ascii="Verdana" w:hAnsi="Verdana" w:cs="Times New Roman"/>
          <w:sz w:val="24"/>
          <w:szCs w:val="24"/>
        </w:rPr>
        <w:t xml:space="preserve"> sentem conforto em generalizar</w:t>
      </w:r>
      <w:r>
        <w:rPr>
          <w:rFonts w:ascii="Verdana" w:hAnsi="Verdana" w:cs="Times New Roman"/>
          <w:sz w:val="24"/>
          <w:szCs w:val="24"/>
        </w:rPr>
        <w:t xml:space="preserve"> situações para defender o indefensável, denomina</w:t>
      </w:r>
      <w:r w:rsidR="00F43EF8">
        <w:rPr>
          <w:rFonts w:ascii="Verdana" w:hAnsi="Verdana" w:cs="Times New Roman"/>
          <w:sz w:val="24"/>
          <w:szCs w:val="24"/>
        </w:rPr>
        <w:t>m</w:t>
      </w:r>
      <w:r>
        <w:rPr>
          <w:rFonts w:ascii="Verdana" w:hAnsi="Verdana" w:cs="Times New Roman"/>
          <w:sz w:val="24"/>
          <w:szCs w:val="24"/>
        </w:rPr>
        <w:t xml:space="preserve"> de “</w:t>
      </w:r>
      <w:proofErr w:type="spellStart"/>
      <w:r>
        <w:rPr>
          <w:rFonts w:ascii="Verdana" w:hAnsi="Verdana" w:cs="Times New Roman"/>
          <w:sz w:val="24"/>
          <w:szCs w:val="24"/>
        </w:rPr>
        <w:t>pilantrópicas</w:t>
      </w:r>
      <w:proofErr w:type="spellEnd"/>
      <w:r>
        <w:rPr>
          <w:rFonts w:ascii="Verdana" w:hAnsi="Verdana" w:cs="Times New Roman"/>
          <w:sz w:val="24"/>
          <w:szCs w:val="24"/>
        </w:rPr>
        <w:t>”.</w:t>
      </w:r>
    </w:p>
    <w:p w:rsidR="00554205" w:rsidRDefault="00554205"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As “</w:t>
      </w:r>
      <w:proofErr w:type="spellStart"/>
      <w:r>
        <w:rPr>
          <w:rFonts w:ascii="Verdana" w:hAnsi="Verdana" w:cs="Times New Roman"/>
          <w:sz w:val="24"/>
          <w:szCs w:val="24"/>
        </w:rPr>
        <w:t>pilantrópicas</w:t>
      </w:r>
      <w:proofErr w:type="spellEnd"/>
      <w:r>
        <w:rPr>
          <w:rFonts w:ascii="Verdana" w:hAnsi="Verdana" w:cs="Times New Roman"/>
          <w:sz w:val="24"/>
          <w:szCs w:val="24"/>
        </w:rPr>
        <w:t>”, na infeliz expressão de pessoas pouco versadas no vernáculo, são caso</w:t>
      </w:r>
      <w:r w:rsidR="0050212D">
        <w:rPr>
          <w:rFonts w:ascii="Verdana" w:hAnsi="Verdana" w:cs="Times New Roman"/>
          <w:sz w:val="24"/>
          <w:szCs w:val="24"/>
        </w:rPr>
        <w:t>s</w:t>
      </w:r>
      <w:r>
        <w:rPr>
          <w:rFonts w:ascii="Verdana" w:hAnsi="Verdana" w:cs="Times New Roman"/>
          <w:sz w:val="24"/>
          <w:szCs w:val="24"/>
        </w:rPr>
        <w:t xml:space="preserve"> de polícia, cabendo à fiscalização</w:t>
      </w:r>
      <w:r w:rsidR="00E51D48">
        <w:rPr>
          <w:rFonts w:ascii="Verdana" w:hAnsi="Verdana" w:cs="Times New Roman"/>
          <w:sz w:val="24"/>
          <w:szCs w:val="24"/>
        </w:rPr>
        <w:t xml:space="preserve"> </w:t>
      </w:r>
      <w:proofErr w:type="spellStart"/>
      <w:r w:rsidR="00E51D48">
        <w:rPr>
          <w:rFonts w:ascii="Verdana" w:hAnsi="Verdana" w:cs="Times New Roman"/>
          <w:sz w:val="24"/>
          <w:szCs w:val="24"/>
        </w:rPr>
        <w:t>desventrá-las</w:t>
      </w:r>
      <w:proofErr w:type="spellEnd"/>
      <w:r w:rsidR="00E51D48">
        <w:rPr>
          <w:rFonts w:ascii="Verdana" w:hAnsi="Verdana" w:cs="Times New Roman"/>
          <w:sz w:val="24"/>
          <w:szCs w:val="24"/>
        </w:rPr>
        <w:t xml:space="preserve"> e </w:t>
      </w:r>
      <w:r w:rsidR="00E51D48">
        <w:rPr>
          <w:rFonts w:ascii="Verdana" w:hAnsi="Verdana" w:cs="Times New Roman"/>
          <w:sz w:val="24"/>
          <w:szCs w:val="24"/>
        </w:rPr>
        <w:lastRenderedPageBreak/>
        <w:t xml:space="preserve">autuá-las, por não merecerem o “status” que </w:t>
      </w:r>
      <w:r w:rsidR="00C47789">
        <w:rPr>
          <w:rFonts w:ascii="Verdana" w:hAnsi="Verdana" w:cs="Times New Roman"/>
          <w:sz w:val="24"/>
          <w:szCs w:val="24"/>
        </w:rPr>
        <w:t xml:space="preserve">lhe </w:t>
      </w:r>
      <w:r w:rsidR="0017131B">
        <w:rPr>
          <w:rFonts w:ascii="Verdana" w:hAnsi="Verdana" w:cs="Times New Roman"/>
          <w:sz w:val="24"/>
          <w:szCs w:val="24"/>
        </w:rPr>
        <w:t>outorgaram</w:t>
      </w:r>
      <w:r w:rsidR="00F43EF8">
        <w:rPr>
          <w:rFonts w:ascii="Verdana" w:hAnsi="Verdana" w:cs="Times New Roman"/>
          <w:sz w:val="24"/>
          <w:szCs w:val="24"/>
        </w:rPr>
        <w:t xml:space="preserve"> seus criadores</w:t>
      </w:r>
      <w:r w:rsidR="00E51D48">
        <w:rPr>
          <w:rFonts w:ascii="Verdana" w:hAnsi="Verdana" w:cs="Times New Roman"/>
          <w:sz w:val="24"/>
          <w:szCs w:val="24"/>
        </w:rPr>
        <w:t>.</w:t>
      </w:r>
    </w:p>
    <w:p w:rsidR="00E51D48" w:rsidRDefault="00E51D48"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 xml:space="preserve">Não </w:t>
      </w:r>
      <w:r w:rsidR="0050212D">
        <w:rPr>
          <w:rFonts w:ascii="Verdana" w:hAnsi="Verdana" w:cs="Times New Roman"/>
          <w:sz w:val="24"/>
          <w:szCs w:val="24"/>
        </w:rPr>
        <w:t>se pode generalizar</w:t>
      </w:r>
      <w:r w:rsidR="00C47789">
        <w:rPr>
          <w:rFonts w:ascii="Verdana" w:hAnsi="Verdana" w:cs="Times New Roman"/>
          <w:sz w:val="24"/>
          <w:szCs w:val="24"/>
        </w:rPr>
        <w:t>,</w:t>
      </w:r>
      <w:r w:rsidR="0050212D">
        <w:rPr>
          <w:rFonts w:ascii="Verdana" w:hAnsi="Verdana" w:cs="Times New Roman"/>
          <w:sz w:val="24"/>
          <w:szCs w:val="24"/>
        </w:rPr>
        <w:t xml:space="preserve"> colocando na mesma</w:t>
      </w:r>
      <w:r>
        <w:rPr>
          <w:rFonts w:ascii="Verdana" w:hAnsi="Verdana" w:cs="Times New Roman"/>
          <w:sz w:val="24"/>
          <w:szCs w:val="24"/>
        </w:rPr>
        <w:t xml:space="preserve"> c</w:t>
      </w:r>
      <w:r w:rsidR="0050212D">
        <w:rPr>
          <w:rFonts w:ascii="Verdana" w:hAnsi="Verdana" w:cs="Times New Roman"/>
          <w:sz w:val="24"/>
          <w:szCs w:val="24"/>
        </w:rPr>
        <w:t>ategoria</w:t>
      </w:r>
      <w:r w:rsidR="00C47789">
        <w:rPr>
          <w:rFonts w:ascii="Verdana" w:hAnsi="Verdana" w:cs="Times New Roman"/>
          <w:sz w:val="24"/>
          <w:szCs w:val="24"/>
        </w:rPr>
        <w:t xml:space="preserve"> uma</w:t>
      </w:r>
      <w:r>
        <w:rPr>
          <w:rFonts w:ascii="Verdana" w:hAnsi="Verdana" w:cs="Times New Roman"/>
          <w:sz w:val="24"/>
          <w:szCs w:val="24"/>
        </w:rPr>
        <w:t xml:space="preserve"> enormidade de instituições sérias </w:t>
      </w:r>
      <w:r w:rsidR="00C47789">
        <w:rPr>
          <w:rFonts w:ascii="Verdana" w:hAnsi="Verdana" w:cs="Times New Roman"/>
          <w:sz w:val="24"/>
          <w:szCs w:val="24"/>
        </w:rPr>
        <w:t>e</w:t>
      </w:r>
      <w:r>
        <w:rPr>
          <w:rFonts w:ascii="Verdana" w:hAnsi="Verdana" w:cs="Times New Roman"/>
          <w:sz w:val="24"/>
          <w:szCs w:val="24"/>
        </w:rPr>
        <w:t xml:space="preserve"> aquelas constituídas de larápios da </w:t>
      </w:r>
      <w:r w:rsidR="0017131B">
        <w:rPr>
          <w:rFonts w:ascii="Verdana" w:hAnsi="Verdana" w:cs="Times New Roman"/>
          <w:sz w:val="24"/>
          <w:szCs w:val="24"/>
        </w:rPr>
        <w:t>boa-fé</w:t>
      </w:r>
      <w:r>
        <w:rPr>
          <w:rFonts w:ascii="Verdana" w:hAnsi="Verdana" w:cs="Times New Roman"/>
          <w:sz w:val="24"/>
          <w:szCs w:val="24"/>
        </w:rPr>
        <w:t xml:space="preserve"> institucional, pois </w:t>
      </w:r>
      <w:r w:rsidR="00C47789">
        <w:rPr>
          <w:rFonts w:ascii="Verdana" w:hAnsi="Verdana" w:cs="Times New Roman"/>
          <w:sz w:val="24"/>
          <w:szCs w:val="24"/>
        </w:rPr>
        <w:t xml:space="preserve">não é difícil distinguir </w:t>
      </w:r>
      <w:r>
        <w:rPr>
          <w:rFonts w:ascii="Verdana" w:hAnsi="Verdana" w:cs="Times New Roman"/>
          <w:sz w:val="24"/>
          <w:szCs w:val="24"/>
        </w:rPr>
        <w:t>as verdadeiras entidades sem fins lucrativos, filantrópicas ou confessionais</w:t>
      </w:r>
      <w:r w:rsidR="0050212D">
        <w:rPr>
          <w:rFonts w:ascii="Verdana" w:hAnsi="Verdana" w:cs="Times New Roman"/>
          <w:sz w:val="24"/>
          <w:szCs w:val="24"/>
        </w:rPr>
        <w:t>,</w:t>
      </w:r>
      <w:r>
        <w:rPr>
          <w:rFonts w:ascii="Verdana" w:hAnsi="Verdana" w:cs="Times New Roman"/>
          <w:sz w:val="24"/>
          <w:szCs w:val="24"/>
        </w:rPr>
        <w:t xml:space="preserve"> </w:t>
      </w:r>
      <w:r w:rsidR="00C47789">
        <w:rPr>
          <w:rFonts w:ascii="Verdana" w:hAnsi="Verdana" w:cs="Times New Roman"/>
          <w:sz w:val="24"/>
          <w:szCs w:val="24"/>
        </w:rPr>
        <w:t xml:space="preserve">que </w:t>
      </w:r>
      <w:r>
        <w:rPr>
          <w:rFonts w:ascii="Verdana" w:hAnsi="Verdana" w:cs="Times New Roman"/>
          <w:sz w:val="24"/>
          <w:szCs w:val="24"/>
        </w:rPr>
        <w:t>são constituídas</w:t>
      </w:r>
      <w:r w:rsidR="00C47789">
        <w:rPr>
          <w:rFonts w:ascii="Verdana" w:hAnsi="Verdana" w:cs="Times New Roman"/>
          <w:sz w:val="24"/>
          <w:szCs w:val="24"/>
        </w:rPr>
        <w:t xml:space="preserve"> </w:t>
      </w:r>
      <w:r w:rsidR="0017131B">
        <w:rPr>
          <w:rFonts w:ascii="Verdana" w:hAnsi="Verdana" w:cs="Times New Roman"/>
          <w:sz w:val="24"/>
          <w:szCs w:val="24"/>
        </w:rPr>
        <w:t>para</w:t>
      </w:r>
      <w:r w:rsidR="0050212D">
        <w:rPr>
          <w:rFonts w:ascii="Verdana" w:hAnsi="Verdana" w:cs="Times New Roman"/>
          <w:sz w:val="24"/>
          <w:szCs w:val="24"/>
        </w:rPr>
        <w:t xml:space="preserve"> </w:t>
      </w:r>
      <w:r>
        <w:rPr>
          <w:rFonts w:ascii="Verdana" w:hAnsi="Verdana" w:cs="Times New Roman"/>
          <w:sz w:val="24"/>
          <w:szCs w:val="24"/>
        </w:rPr>
        <w:t>trabalha</w:t>
      </w:r>
      <w:r w:rsidR="0050212D">
        <w:rPr>
          <w:rFonts w:ascii="Verdana" w:hAnsi="Verdana" w:cs="Times New Roman"/>
          <w:sz w:val="24"/>
          <w:szCs w:val="24"/>
        </w:rPr>
        <w:t>r</w:t>
      </w:r>
      <w:r>
        <w:rPr>
          <w:rFonts w:ascii="Verdana" w:hAnsi="Verdana" w:cs="Times New Roman"/>
          <w:sz w:val="24"/>
          <w:szCs w:val="24"/>
        </w:rPr>
        <w:t xml:space="preserve"> </w:t>
      </w:r>
      <w:r w:rsidR="00C47789">
        <w:rPr>
          <w:rFonts w:ascii="Verdana" w:hAnsi="Verdana" w:cs="Times New Roman"/>
          <w:sz w:val="24"/>
          <w:szCs w:val="24"/>
        </w:rPr>
        <w:t>em prol da</w:t>
      </w:r>
      <w:r>
        <w:rPr>
          <w:rFonts w:ascii="Verdana" w:hAnsi="Verdana" w:cs="Times New Roman"/>
          <w:sz w:val="24"/>
          <w:szCs w:val="24"/>
        </w:rPr>
        <w:t xml:space="preserve"> saúde</w:t>
      </w:r>
      <w:r w:rsidR="00C47789">
        <w:rPr>
          <w:rFonts w:ascii="Verdana" w:hAnsi="Verdana" w:cs="Times New Roman"/>
          <w:sz w:val="24"/>
          <w:szCs w:val="24"/>
        </w:rPr>
        <w:t>, da</w:t>
      </w:r>
      <w:r>
        <w:rPr>
          <w:rFonts w:ascii="Verdana" w:hAnsi="Verdana" w:cs="Times New Roman"/>
          <w:sz w:val="24"/>
          <w:szCs w:val="24"/>
        </w:rPr>
        <w:t xml:space="preserve"> educação </w:t>
      </w:r>
      <w:r w:rsidR="00C47789">
        <w:rPr>
          <w:rFonts w:ascii="Verdana" w:hAnsi="Verdana" w:cs="Times New Roman"/>
          <w:sz w:val="24"/>
          <w:szCs w:val="24"/>
        </w:rPr>
        <w:t xml:space="preserve">e da assistência social, </w:t>
      </w:r>
      <w:r>
        <w:rPr>
          <w:rFonts w:ascii="Verdana" w:hAnsi="Verdana" w:cs="Times New Roman"/>
          <w:sz w:val="24"/>
          <w:szCs w:val="24"/>
        </w:rPr>
        <w:t>a bem da sociedade.</w:t>
      </w:r>
    </w:p>
    <w:p w:rsidR="00E51D48" w:rsidRDefault="00E51D48"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É de se lembrar, por outro lado, qu</w:t>
      </w:r>
      <w:r w:rsidR="00F43EF8">
        <w:rPr>
          <w:rFonts w:ascii="Verdana" w:hAnsi="Verdana" w:cs="Times New Roman"/>
          <w:sz w:val="24"/>
          <w:szCs w:val="24"/>
        </w:rPr>
        <w:t>e</w:t>
      </w:r>
      <w:r>
        <w:rPr>
          <w:rFonts w:ascii="Verdana" w:hAnsi="Verdana" w:cs="Times New Roman"/>
          <w:sz w:val="24"/>
          <w:szCs w:val="24"/>
        </w:rPr>
        <w:t xml:space="preserve"> não cuida</w:t>
      </w:r>
      <w:r w:rsidR="00F43EF8">
        <w:rPr>
          <w:rFonts w:ascii="Verdana" w:hAnsi="Verdana" w:cs="Times New Roman"/>
          <w:sz w:val="24"/>
          <w:szCs w:val="24"/>
        </w:rPr>
        <w:t>m,</w:t>
      </w:r>
      <w:r>
        <w:rPr>
          <w:rFonts w:ascii="Verdana" w:hAnsi="Verdana" w:cs="Times New Roman"/>
          <w:sz w:val="24"/>
          <w:szCs w:val="24"/>
        </w:rPr>
        <w:t xml:space="preserve"> as “imunidades”</w:t>
      </w:r>
      <w:r w:rsidR="0050212D">
        <w:rPr>
          <w:rFonts w:ascii="Verdana" w:hAnsi="Verdana" w:cs="Times New Roman"/>
          <w:sz w:val="24"/>
          <w:szCs w:val="24"/>
        </w:rPr>
        <w:t>,</w:t>
      </w:r>
      <w:r>
        <w:rPr>
          <w:rFonts w:ascii="Verdana" w:hAnsi="Verdana" w:cs="Times New Roman"/>
          <w:sz w:val="24"/>
          <w:szCs w:val="24"/>
        </w:rPr>
        <w:t xml:space="preserve"> de renúncia fiscal, mas de vedação ao pod</w:t>
      </w:r>
      <w:r w:rsidR="00F43EF8">
        <w:rPr>
          <w:rFonts w:ascii="Verdana" w:hAnsi="Verdana" w:cs="Times New Roman"/>
          <w:sz w:val="24"/>
          <w:szCs w:val="24"/>
        </w:rPr>
        <w:t>er de tributar, não havendo</w:t>
      </w:r>
      <w:r>
        <w:rPr>
          <w:rFonts w:ascii="Verdana" w:hAnsi="Verdana" w:cs="Times New Roman"/>
          <w:sz w:val="24"/>
          <w:szCs w:val="24"/>
        </w:rPr>
        <w:t xml:space="preserve"> que se confundir</w:t>
      </w:r>
      <w:r w:rsidR="00C47789">
        <w:rPr>
          <w:rFonts w:ascii="Verdana" w:hAnsi="Verdana" w:cs="Times New Roman"/>
          <w:sz w:val="24"/>
          <w:szCs w:val="24"/>
        </w:rPr>
        <w:t>,</w:t>
      </w:r>
      <w:r w:rsidR="00F43EF8">
        <w:rPr>
          <w:rFonts w:ascii="Verdana" w:hAnsi="Verdana" w:cs="Times New Roman"/>
          <w:sz w:val="24"/>
          <w:szCs w:val="24"/>
        </w:rPr>
        <w:t xml:space="preserve"> tal impedimento </w:t>
      </w:r>
      <w:r w:rsidR="00C47789">
        <w:rPr>
          <w:rFonts w:ascii="Verdana" w:hAnsi="Verdana" w:cs="Times New Roman"/>
          <w:sz w:val="24"/>
          <w:szCs w:val="24"/>
        </w:rPr>
        <w:t xml:space="preserve">criado pela </w:t>
      </w:r>
      <w:r w:rsidR="00F43EF8">
        <w:rPr>
          <w:rFonts w:ascii="Verdana" w:hAnsi="Verdana" w:cs="Times New Roman"/>
          <w:sz w:val="24"/>
          <w:szCs w:val="24"/>
        </w:rPr>
        <w:t>Lei Suprema</w:t>
      </w:r>
      <w:r w:rsidR="00C47789">
        <w:rPr>
          <w:rFonts w:ascii="Verdana" w:hAnsi="Verdana" w:cs="Times New Roman"/>
          <w:sz w:val="24"/>
          <w:szCs w:val="24"/>
        </w:rPr>
        <w:t>,</w:t>
      </w:r>
      <w:r w:rsidR="00F43EF8">
        <w:rPr>
          <w:rFonts w:ascii="Verdana" w:hAnsi="Verdana" w:cs="Times New Roman"/>
          <w:sz w:val="24"/>
          <w:szCs w:val="24"/>
        </w:rPr>
        <w:t xml:space="preserve"> com a </w:t>
      </w:r>
      <w:r>
        <w:rPr>
          <w:rFonts w:ascii="Verdana" w:hAnsi="Verdana" w:cs="Times New Roman"/>
          <w:sz w:val="24"/>
          <w:szCs w:val="24"/>
        </w:rPr>
        <w:t>hipótese do artigo 213 da CF</w:t>
      </w:r>
      <w:r w:rsidR="00C47789">
        <w:rPr>
          <w:rFonts w:ascii="Verdana" w:hAnsi="Verdana" w:cs="Times New Roman"/>
          <w:sz w:val="24"/>
          <w:szCs w:val="24"/>
        </w:rPr>
        <w:t>,</w:t>
      </w:r>
      <w:r>
        <w:rPr>
          <w:rFonts w:ascii="Verdana" w:hAnsi="Verdana" w:cs="Times New Roman"/>
          <w:sz w:val="24"/>
          <w:szCs w:val="24"/>
        </w:rPr>
        <w:t xml:space="preserve"> assim redigido:</w:t>
      </w:r>
    </w:p>
    <w:p w:rsidR="00E51D48" w:rsidRPr="00E51D48" w:rsidRDefault="00E51D48" w:rsidP="00E51D48">
      <w:pPr>
        <w:shd w:val="clear" w:color="auto" w:fill="FFFFFF"/>
        <w:spacing w:after="0" w:line="240" w:lineRule="auto"/>
        <w:ind w:left="1134"/>
        <w:jc w:val="both"/>
        <w:rPr>
          <w:rFonts w:ascii="Verdana" w:eastAsia="Times New Roman" w:hAnsi="Verdana" w:cs="Times New Roman"/>
          <w:i/>
          <w:color w:val="000000"/>
          <w:sz w:val="24"/>
          <w:szCs w:val="24"/>
          <w:lang w:eastAsia="pt-BR"/>
        </w:rPr>
      </w:pPr>
      <w:r w:rsidRPr="00E51D48">
        <w:rPr>
          <w:rFonts w:ascii="Verdana" w:eastAsia="Times New Roman" w:hAnsi="Verdana" w:cs="Arial"/>
          <w:i/>
          <w:color w:val="000000"/>
          <w:sz w:val="24"/>
          <w:szCs w:val="24"/>
          <w:lang w:eastAsia="pt-BR"/>
        </w:rPr>
        <w:t>“Art. 213. Os recursos públicos serão destinados às escolas públicas, podendo ser dirigidos a escolas comunitárias, confessionais ou filantrópicas, definidas em lei, que:</w:t>
      </w:r>
    </w:p>
    <w:p w:rsidR="00E51D48" w:rsidRPr="00E51D48" w:rsidRDefault="00E51D48" w:rsidP="00E51D48">
      <w:pPr>
        <w:shd w:val="clear" w:color="auto" w:fill="FFFFFF"/>
        <w:spacing w:after="0" w:line="240" w:lineRule="auto"/>
        <w:ind w:left="1134"/>
        <w:jc w:val="both"/>
        <w:rPr>
          <w:rFonts w:ascii="Verdana" w:eastAsia="Times New Roman" w:hAnsi="Verdana" w:cs="Times New Roman"/>
          <w:i/>
          <w:color w:val="000000"/>
          <w:sz w:val="24"/>
          <w:szCs w:val="24"/>
          <w:lang w:eastAsia="pt-BR"/>
        </w:rPr>
      </w:pPr>
      <w:r w:rsidRPr="00E51D48">
        <w:rPr>
          <w:rFonts w:ascii="Verdana" w:eastAsia="Times New Roman" w:hAnsi="Verdana" w:cs="Arial"/>
          <w:i/>
          <w:color w:val="000000"/>
          <w:sz w:val="24"/>
          <w:szCs w:val="24"/>
          <w:lang w:eastAsia="pt-BR"/>
        </w:rPr>
        <w:t>I - comprovem finalidade não-lucrativa e apliquem seus excedentes financeiros em educação;</w:t>
      </w:r>
    </w:p>
    <w:p w:rsidR="00E51D48" w:rsidRPr="00E51D48" w:rsidRDefault="00E51D48" w:rsidP="00E51D48">
      <w:pPr>
        <w:shd w:val="clear" w:color="auto" w:fill="FFFFFF"/>
        <w:spacing w:after="0" w:line="240" w:lineRule="auto"/>
        <w:ind w:left="1134"/>
        <w:jc w:val="both"/>
        <w:rPr>
          <w:rFonts w:ascii="Verdana" w:eastAsia="Times New Roman" w:hAnsi="Verdana" w:cs="Times New Roman"/>
          <w:i/>
          <w:color w:val="000000"/>
          <w:sz w:val="24"/>
          <w:szCs w:val="24"/>
          <w:lang w:eastAsia="pt-BR"/>
        </w:rPr>
      </w:pPr>
      <w:r w:rsidRPr="00E51D48">
        <w:rPr>
          <w:rFonts w:ascii="Verdana" w:eastAsia="Times New Roman" w:hAnsi="Verdana" w:cs="Arial"/>
          <w:i/>
          <w:color w:val="000000"/>
          <w:sz w:val="24"/>
          <w:szCs w:val="24"/>
          <w:lang w:eastAsia="pt-BR"/>
        </w:rPr>
        <w:t xml:space="preserve">II - assegurem a destinação de seu patrimônio a outra escola comunitária, filantrópica ou confessional, ou ao Poder Público, no caso de </w:t>
      </w:r>
      <w:r>
        <w:rPr>
          <w:rFonts w:ascii="Verdana" w:eastAsia="Times New Roman" w:hAnsi="Verdana" w:cs="Arial"/>
          <w:i/>
          <w:color w:val="000000"/>
          <w:sz w:val="24"/>
          <w:szCs w:val="24"/>
          <w:lang w:eastAsia="pt-BR"/>
        </w:rPr>
        <w:t>encerramento de suas atividades</w:t>
      </w:r>
      <w:r w:rsidRPr="00E51D48">
        <w:rPr>
          <w:rFonts w:ascii="Verdana" w:eastAsia="Times New Roman" w:hAnsi="Verdana" w:cs="Arial"/>
          <w:i/>
          <w:color w:val="000000"/>
          <w:sz w:val="24"/>
          <w:szCs w:val="24"/>
          <w:lang w:eastAsia="pt-BR"/>
        </w:rPr>
        <w:t>”</w:t>
      </w:r>
      <w:r>
        <w:rPr>
          <w:rFonts w:ascii="Verdana" w:eastAsia="Times New Roman" w:hAnsi="Verdana" w:cs="Arial"/>
          <w:i/>
          <w:color w:val="000000"/>
          <w:sz w:val="24"/>
          <w:szCs w:val="24"/>
          <w:lang w:eastAsia="pt-BR"/>
        </w:rPr>
        <w:t xml:space="preserve"> </w:t>
      </w:r>
      <w:r>
        <w:rPr>
          <w:rStyle w:val="Refdenotaderodap"/>
          <w:rFonts w:ascii="Verdana" w:eastAsia="Times New Roman" w:hAnsi="Verdana" w:cs="Arial"/>
          <w:i/>
          <w:color w:val="000000"/>
          <w:sz w:val="24"/>
          <w:szCs w:val="24"/>
          <w:lang w:eastAsia="pt-BR"/>
        </w:rPr>
        <w:footnoteReference w:id="10"/>
      </w:r>
      <w:r w:rsidR="00264503">
        <w:rPr>
          <w:rFonts w:ascii="Verdana" w:eastAsia="Times New Roman" w:hAnsi="Verdana" w:cs="Arial"/>
          <w:i/>
          <w:color w:val="000000"/>
          <w:sz w:val="24"/>
          <w:szCs w:val="24"/>
          <w:lang w:eastAsia="pt-BR"/>
        </w:rPr>
        <w:t>,</w:t>
      </w:r>
    </w:p>
    <w:p w:rsidR="00E51D48" w:rsidRDefault="00264503"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lastRenderedPageBreak/>
        <w:t>que implica VERSÃO DE RECURSOS, através de doações ou financiamentos favorecidos. Tais versões de recursos podem e devem ser regulad</w:t>
      </w:r>
      <w:r w:rsidR="00C47789">
        <w:rPr>
          <w:rFonts w:ascii="Verdana" w:hAnsi="Verdana" w:cs="Times New Roman"/>
          <w:sz w:val="24"/>
          <w:szCs w:val="24"/>
        </w:rPr>
        <w:t>a</w:t>
      </w:r>
      <w:r>
        <w:rPr>
          <w:rFonts w:ascii="Verdana" w:hAnsi="Verdana" w:cs="Times New Roman"/>
          <w:sz w:val="24"/>
          <w:szCs w:val="24"/>
        </w:rPr>
        <w:t>s por lei, podendo ser ou não concedidos pelo Poder tributante.</w:t>
      </w:r>
      <w:r w:rsidR="0050212D">
        <w:rPr>
          <w:rFonts w:ascii="Verdana" w:hAnsi="Verdana" w:cs="Times New Roman"/>
          <w:sz w:val="24"/>
          <w:szCs w:val="24"/>
        </w:rPr>
        <w:t xml:space="preserve"> </w:t>
      </w:r>
      <w:r w:rsidR="00C47789">
        <w:rPr>
          <w:rFonts w:ascii="Verdana" w:hAnsi="Verdana" w:cs="Times New Roman"/>
          <w:sz w:val="24"/>
          <w:szCs w:val="24"/>
        </w:rPr>
        <w:t xml:space="preserve">Sempre que concedidas, </w:t>
      </w:r>
      <w:r w:rsidR="0050212D">
        <w:rPr>
          <w:rFonts w:ascii="Verdana" w:hAnsi="Verdana" w:cs="Times New Roman"/>
          <w:sz w:val="24"/>
          <w:szCs w:val="24"/>
        </w:rPr>
        <w:t xml:space="preserve">há renúncia fiscal. Nas imunidades, não. Ninguém pode renunciar </w:t>
      </w:r>
      <w:r w:rsidR="00C47789">
        <w:rPr>
          <w:rFonts w:ascii="Verdana" w:hAnsi="Verdana" w:cs="Times New Roman"/>
          <w:sz w:val="24"/>
          <w:szCs w:val="24"/>
        </w:rPr>
        <w:t>a</w:t>
      </w:r>
      <w:r w:rsidR="0050212D">
        <w:rPr>
          <w:rFonts w:ascii="Verdana" w:hAnsi="Verdana" w:cs="Times New Roman"/>
          <w:sz w:val="24"/>
          <w:szCs w:val="24"/>
        </w:rPr>
        <w:t>o que não tem.</w:t>
      </w:r>
    </w:p>
    <w:p w:rsidR="00264503" w:rsidRDefault="00264503"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Voltando às imunidades</w:t>
      </w:r>
      <w:r w:rsidR="00467627">
        <w:rPr>
          <w:rFonts w:ascii="Verdana" w:hAnsi="Verdana" w:cs="Times New Roman"/>
          <w:sz w:val="24"/>
          <w:szCs w:val="24"/>
        </w:rPr>
        <w:t>,</w:t>
      </w:r>
      <w:r>
        <w:rPr>
          <w:rFonts w:ascii="Verdana" w:hAnsi="Verdana" w:cs="Times New Roman"/>
          <w:sz w:val="24"/>
          <w:szCs w:val="24"/>
        </w:rPr>
        <w:t xml:space="preserve"> que são garantias asseguradas ao contribuinte</w:t>
      </w:r>
      <w:r w:rsidR="00467627">
        <w:rPr>
          <w:rFonts w:ascii="Verdana" w:hAnsi="Verdana" w:cs="Times New Roman"/>
          <w:sz w:val="24"/>
          <w:szCs w:val="24"/>
        </w:rPr>
        <w:t>, o</w:t>
      </w:r>
      <w:r>
        <w:rPr>
          <w:rFonts w:ascii="Verdana" w:hAnsi="Verdana" w:cs="Times New Roman"/>
          <w:sz w:val="24"/>
          <w:szCs w:val="24"/>
        </w:rPr>
        <w:t xml:space="preserve">s requisitos para </w:t>
      </w:r>
      <w:r w:rsidR="00467627">
        <w:rPr>
          <w:rFonts w:ascii="Verdana" w:hAnsi="Verdana" w:cs="Times New Roman"/>
          <w:sz w:val="24"/>
          <w:szCs w:val="24"/>
        </w:rPr>
        <w:t xml:space="preserve">seu </w:t>
      </w:r>
      <w:r>
        <w:rPr>
          <w:rFonts w:ascii="Verdana" w:hAnsi="Verdana" w:cs="Times New Roman"/>
          <w:sz w:val="24"/>
          <w:szCs w:val="24"/>
        </w:rPr>
        <w:t xml:space="preserve">gozo, </w:t>
      </w:r>
      <w:r w:rsidR="00467627">
        <w:rPr>
          <w:rFonts w:ascii="Verdana" w:hAnsi="Verdana" w:cs="Times New Roman"/>
          <w:sz w:val="24"/>
          <w:szCs w:val="24"/>
        </w:rPr>
        <w:t xml:space="preserve">relativamente a </w:t>
      </w:r>
      <w:r>
        <w:rPr>
          <w:rFonts w:ascii="Verdana" w:hAnsi="Verdana" w:cs="Times New Roman"/>
          <w:sz w:val="24"/>
          <w:szCs w:val="24"/>
        </w:rPr>
        <w:t>impostos e contribuições sociais, devem ser definidos por lei complementar</w:t>
      </w:r>
      <w:r w:rsidR="00467627">
        <w:rPr>
          <w:rFonts w:ascii="Verdana" w:hAnsi="Verdana" w:cs="Times New Roman"/>
          <w:sz w:val="24"/>
          <w:szCs w:val="24"/>
        </w:rPr>
        <w:t>,</w:t>
      </w:r>
      <w:r>
        <w:rPr>
          <w:rFonts w:ascii="Verdana" w:hAnsi="Verdana" w:cs="Times New Roman"/>
          <w:sz w:val="24"/>
          <w:szCs w:val="24"/>
        </w:rPr>
        <w:t xml:space="preserve"> no</w:t>
      </w:r>
      <w:r w:rsidR="00671189">
        <w:rPr>
          <w:rFonts w:ascii="Verdana" w:hAnsi="Verdana" w:cs="Times New Roman"/>
          <w:sz w:val="24"/>
          <w:szCs w:val="24"/>
        </w:rPr>
        <w:t>s termos do artigo 146</w:t>
      </w:r>
      <w:r w:rsidR="00467627">
        <w:rPr>
          <w:rFonts w:ascii="Verdana" w:hAnsi="Verdana" w:cs="Times New Roman"/>
          <w:sz w:val="24"/>
          <w:szCs w:val="24"/>
        </w:rPr>
        <w:t>,II</w:t>
      </w:r>
      <w:r w:rsidR="00671189">
        <w:rPr>
          <w:rFonts w:ascii="Verdana" w:hAnsi="Verdana" w:cs="Times New Roman"/>
          <w:sz w:val="24"/>
          <w:szCs w:val="24"/>
        </w:rPr>
        <w:t xml:space="preserve"> da CF</w:t>
      </w:r>
      <w:r w:rsidR="00467627">
        <w:rPr>
          <w:rFonts w:ascii="Verdana" w:hAnsi="Verdana" w:cs="Times New Roman"/>
          <w:sz w:val="24"/>
          <w:szCs w:val="24"/>
        </w:rPr>
        <w:t>, conforme reconheceu a Suprema Corte nas</w:t>
      </w:r>
      <w:r w:rsidR="00243E98">
        <w:rPr>
          <w:rFonts w:ascii="Verdana" w:hAnsi="Verdana" w:cs="Times New Roman"/>
          <w:sz w:val="24"/>
          <w:szCs w:val="24"/>
        </w:rPr>
        <w:t xml:space="preserve"> </w:t>
      </w:r>
      <w:proofErr w:type="spellStart"/>
      <w:r w:rsidR="00243E98">
        <w:rPr>
          <w:rFonts w:ascii="Verdana" w:hAnsi="Verdana" w:cs="Times New Roman"/>
          <w:sz w:val="24"/>
          <w:szCs w:val="24"/>
        </w:rPr>
        <w:t>ADI’s</w:t>
      </w:r>
      <w:proofErr w:type="spellEnd"/>
      <w:r w:rsidR="00671189">
        <w:rPr>
          <w:rFonts w:ascii="Verdana" w:hAnsi="Verdana" w:cs="Times New Roman"/>
          <w:sz w:val="24"/>
          <w:szCs w:val="24"/>
        </w:rPr>
        <w:t xml:space="preserve"> </w:t>
      </w:r>
      <w:r w:rsidR="00243E98">
        <w:rPr>
          <w:rFonts w:ascii="Verdana" w:hAnsi="Verdana" w:cs="Times New Roman"/>
          <w:sz w:val="24"/>
          <w:szCs w:val="24"/>
        </w:rPr>
        <w:t xml:space="preserve"> </w:t>
      </w:r>
      <w:r w:rsidR="00243E98" w:rsidRPr="00243E98">
        <w:rPr>
          <w:rFonts w:ascii="Verdana" w:hAnsi="Verdana"/>
          <w:sz w:val="24"/>
          <w:szCs w:val="24"/>
        </w:rPr>
        <w:t>2028, 2621, 2228 e 2036</w:t>
      </w:r>
      <w:r w:rsidR="00671189">
        <w:rPr>
          <w:rFonts w:ascii="Verdana" w:hAnsi="Verdana" w:cs="Times New Roman"/>
          <w:sz w:val="24"/>
          <w:szCs w:val="24"/>
        </w:rPr>
        <w:t xml:space="preserve"> e </w:t>
      </w:r>
      <w:r w:rsidR="00467627">
        <w:rPr>
          <w:rFonts w:ascii="Verdana" w:hAnsi="Verdana" w:cs="Times New Roman"/>
          <w:sz w:val="24"/>
          <w:szCs w:val="24"/>
        </w:rPr>
        <w:t xml:space="preserve">na </w:t>
      </w:r>
      <w:r w:rsidR="00671189">
        <w:rPr>
          <w:rFonts w:ascii="Verdana" w:hAnsi="Verdana" w:cs="Times New Roman"/>
          <w:sz w:val="24"/>
          <w:szCs w:val="24"/>
        </w:rPr>
        <w:t>Repercussão Geral 566.622</w:t>
      </w:r>
      <w:r w:rsidR="00467627">
        <w:rPr>
          <w:rFonts w:ascii="Verdana" w:hAnsi="Verdana" w:cs="Times New Roman"/>
          <w:sz w:val="24"/>
          <w:szCs w:val="24"/>
        </w:rPr>
        <w:t xml:space="preserve"> -</w:t>
      </w:r>
      <w:r w:rsidR="00671189">
        <w:rPr>
          <w:rFonts w:ascii="Verdana" w:hAnsi="Verdana" w:cs="Times New Roman"/>
          <w:sz w:val="24"/>
          <w:szCs w:val="24"/>
        </w:rPr>
        <w:t xml:space="preserve"> as primeiras patrocinadas pelo meu escritório e </w:t>
      </w:r>
      <w:r w:rsidR="00467627">
        <w:rPr>
          <w:rFonts w:ascii="Verdana" w:hAnsi="Verdana" w:cs="Times New Roman"/>
          <w:sz w:val="24"/>
          <w:szCs w:val="24"/>
        </w:rPr>
        <w:t xml:space="preserve">nas quais </w:t>
      </w:r>
      <w:r w:rsidR="00671189">
        <w:rPr>
          <w:rFonts w:ascii="Verdana" w:hAnsi="Verdana" w:cs="Times New Roman"/>
          <w:sz w:val="24"/>
          <w:szCs w:val="24"/>
        </w:rPr>
        <w:t xml:space="preserve">sustentei </w:t>
      </w:r>
      <w:r w:rsidR="00671189">
        <w:rPr>
          <w:rFonts w:ascii="Verdana" w:hAnsi="Verdana" w:cs="Times New Roman"/>
          <w:sz w:val="24"/>
          <w:szCs w:val="24"/>
        </w:rPr>
        <w:lastRenderedPageBreak/>
        <w:t>pessoalmente perante a Suprema Corte em 04/06/2014. O artigo está assim disposto:</w:t>
      </w:r>
    </w:p>
    <w:p w:rsidR="00671189" w:rsidRPr="00671189" w:rsidRDefault="00F43EF8" w:rsidP="00671189">
      <w:pPr>
        <w:pStyle w:val="NormalWeb"/>
        <w:spacing w:before="0" w:beforeAutospacing="0" w:after="0" w:afterAutospacing="0"/>
        <w:ind w:left="1134"/>
        <w:jc w:val="both"/>
        <w:rPr>
          <w:rFonts w:ascii="Verdana" w:hAnsi="Verdana"/>
          <w:i/>
        </w:rPr>
      </w:pPr>
      <w:r>
        <w:rPr>
          <w:rFonts w:ascii="Verdana" w:hAnsi="Verdana" w:cs="Arial"/>
          <w:i/>
        </w:rPr>
        <w:t>“</w:t>
      </w:r>
      <w:r w:rsidR="00671189" w:rsidRPr="00671189">
        <w:rPr>
          <w:rFonts w:ascii="Verdana" w:hAnsi="Verdana" w:cs="Arial"/>
          <w:i/>
        </w:rPr>
        <w:t>Art. 146. Cabe à lei complementar:</w:t>
      </w:r>
    </w:p>
    <w:p w:rsidR="00F43EF8" w:rsidRDefault="00F43EF8" w:rsidP="00671189">
      <w:pPr>
        <w:pStyle w:val="NormalWeb"/>
        <w:spacing w:before="0" w:beforeAutospacing="0" w:after="0" w:afterAutospacing="0"/>
        <w:ind w:left="1134"/>
        <w:jc w:val="both"/>
        <w:rPr>
          <w:rFonts w:ascii="Verdana" w:hAnsi="Verdana" w:cs="Arial"/>
          <w:i/>
        </w:rPr>
      </w:pPr>
      <w:r>
        <w:rPr>
          <w:rFonts w:ascii="Verdana" w:hAnsi="Verdana" w:cs="Arial"/>
          <w:i/>
        </w:rPr>
        <w:t>...............</w:t>
      </w:r>
    </w:p>
    <w:p w:rsidR="00671189" w:rsidRPr="00DC2233" w:rsidRDefault="00671189" w:rsidP="00DC2233">
      <w:pPr>
        <w:pStyle w:val="NormalWeb"/>
        <w:spacing w:before="0" w:beforeAutospacing="0" w:after="0" w:afterAutospacing="0"/>
        <w:ind w:left="1134"/>
        <w:jc w:val="both"/>
        <w:rPr>
          <w:rFonts w:ascii="Verdana" w:hAnsi="Verdana"/>
          <w:i/>
          <w:u w:val="single"/>
        </w:rPr>
      </w:pPr>
      <w:r w:rsidRPr="00671189">
        <w:rPr>
          <w:rFonts w:ascii="Verdana" w:hAnsi="Verdana"/>
          <w:i/>
        </w:rPr>
        <w:t> </w:t>
      </w:r>
      <w:r w:rsidRPr="00671189">
        <w:rPr>
          <w:rFonts w:ascii="Verdana" w:hAnsi="Verdana" w:cs="Arial"/>
          <w:i/>
        </w:rPr>
        <w:t>II -</w:t>
      </w:r>
      <w:r w:rsidRPr="00DC2233">
        <w:rPr>
          <w:rFonts w:ascii="Verdana" w:hAnsi="Verdana" w:cs="Arial"/>
          <w:i/>
          <w:u w:val="single"/>
        </w:rPr>
        <w:t xml:space="preserve"> regular as limitações constitucionais ao poder de tributar</w:t>
      </w:r>
      <w:r w:rsidRPr="00DC2233">
        <w:rPr>
          <w:rFonts w:ascii="Verdana" w:hAnsi="Verdana" w:cs="Arial"/>
          <w:i/>
        </w:rPr>
        <w:t>;</w:t>
      </w:r>
      <w:r w:rsidR="00DC2233" w:rsidRPr="00DC2233">
        <w:rPr>
          <w:rFonts w:ascii="Verdana" w:hAnsi="Verdana" w:cs="Arial"/>
          <w:i/>
        </w:rPr>
        <w:t xml:space="preserve"> .....”</w:t>
      </w:r>
      <w:r w:rsidRPr="00671189">
        <w:rPr>
          <w:rFonts w:ascii="Verdana" w:hAnsi="Verdana" w:cs="Arial"/>
          <w:i/>
        </w:rPr>
        <w:t>.</w:t>
      </w:r>
    </w:p>
    <w:p w:rsidR="00671189" w:rsidRDefault="00DC2233"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Or</w:t>
      </w:r>
      <w:r w:rsidR="00671189">
        <w:rPr>
          <w:rFonts w:ascii="Verdana" w:hAnsi="Verdana" w:cs="Times New Roman"/>
          <w:sz w:val="24"/>
          <w:szCs w:val="24"/>
        </w:rPr>
        <w:t>a</w:t>
      </w:r>
      <w:r>
        <w:rPr>
          <w:rFonts w:ascii="Verdana" w:hAnsi="Verdana" w:cs="Times New Roman"/>
          <w:sz w:val="24"/>
          <w:szCs w:val="24"/>
        </w:rPr>
        <w:t xml:space="preserve">, as decisões </w:t>
      </w:r>
      <w:r w:rsidR="00467627">
        <w:rPr>
          <w:rFonts w:ascii="Verdana" w:hAnsi="Verdana" w:cs="Times New Roman"/>
          <w:sz w:val="24"/>
          <w:szCs w:val="24"/>
        </w:rPr>
        <w:t>n</w:t>
      </w:r>
      <w:r>
        <w:rPr>
          <w:rFonts w:ascii="Verdana" w:hAnsi="Verdana" w:cs="Times New Roman"/>
          <w:sz w:val="24"/>
          <w:szCs w:val="24"/>
        </w:rPr>
        <w:t>os dois casos tê</w:t>
      </w:r>
      <w:r w:rsidR="00671189">
        <w:rPr>
          <w:rFonts w:ascii="Verdana" w:hAnsi="Verdana" w:cs="Times New Roman"/>
          <w:sz w:val="24"/>
          <w:szCs w:val="24"/>
        </w:rPr>
        <w:t>m o</w:t>
      </w:r>
      <w:r>
        <w:rPr>
          <w:rFonts w:ascii="Verdana" w:hAnsi="Verdana" w:cs="Times New Roman"/>
          <w:sz w:val="24"/>
          <w:szCs w:val="24"/>
        </w:rPr>
        <w:t xml:space="preserve">s seguintes </w:t>
      </w:r>
      <w:r w:rsidR="00671189">
        <w:rPr>
          <w:rFonts w:ascii="Verdana" w:hAnsi="Verdana" w:cs="Times New Roman"/>
          <w:sz w:val="24"/>
          <w:szCs w:val="24"/>
        </w:rPr>
        <w:t>teor</w:t>
      </w:r>
      <w:r>
        <w:rPr>
          <w:rFonts w:ascii="Verdana" w:hAnsi="Verdana" w:cs="Times New Roman"/>
          <w:sz w:val="24"/>
          <w:szCs w:val="24"/>
        </w:rPr>
        <w:t>es</w:t>
      </w:r>
      <w:r w:rsidR="00671189">
        <w:rPr>
          <w:rFonts w:ascii="Verdana" w:hAnsi="Verdana" w:cs="Times New Roman"/>
          <w:sz w:val="24"/>
          <w:szCs w:val="24"/>
        </w:rPr>
        <w:t>:</w:t>
      </w:r>
    </w:p>
    <w:p w:rsidR="00205A59" w:rsidRPr="00205A59" w:rsidRDefault="00D70878" w:rsidP="00205A59">
      <w:pPr>
        <w:spacing w:after="0" w:line="240" w:lineRule="auto"/>
        <w:ind w:left="1134"/>
        <w:jc w:val="both"/>
        <w:rPr>
          <w:rFonts w:ascii="Verdana" w:hAnsi="Verdana" w:cs="Times New Roman"/>
          <w:i/>
          <w:sz w:val="24"/>
          <w:szCs w:val="24"/>
        </w:rPr>
      </w:pPr>
      <w:r>
        <w:rPr>
          <w:rFonts w:ascii="Verdana" w:hAnsi="Verdana" w:cs="Times New Roman"/>
          <w:i/>
          <w:sz w:val="24"/>
          <w:szCs w:val="24"/>
        </w:rPr>
        <w:t>“</w:t>
      </w:r>
      <w:r w:rsidR="00671189" w:rsidRPr="00205A59">
        <w:rPr>
          <w:rFonts w:ascii="Verdana" w:hAnsi="Verdana" w:cs="Times New Roman"/>
          <w:i/>
          <w:sz w:val="24"/>
          <w:szCs w:val="24"/>
        </w:rPr>
        <w:t xml:space="preserve">Decisão: O Tribunal, por maioria e nos termos do voto do relator, apreciando o tema 32 da repercussão geral, deu provimento ao recurso extraordinário, vencidos os Ministros </w:t>
      </w:r>
      <w:proofErr w:type="spellStart"/>
      <w:r w:rsidR="00671189" w:rsidRPr="00205A59">
        <w:rPr>
          <w:rFonts w:ascii="Verdana" w:hAnsi="Verdana" w:cs="Times New Roman"/>
          <w:i/>
          <w:sz w:val="24"/>
          <w:szCs w:val="24"/>
        </w:rPr>
        <w:t>Teori</w:t>
      </w:r>
      <w:proofErr w:type="spellEnd"/>
      <w:r w:rsidR="00671189" w:rsidRPr="00205A59">
        <w:rPr>
          <w:rFonts w:ascii="Verdana" w:hAnsi="Verdana" w:cs="Times New Roman"/>
          <w:i/>
          <w:sz w:val="24"/>
          <w:szCs w:val="24"/>
        </w:rPr>
        <w:t xml:space="preserve"> Zavascki, Rosa Weber</w:t>
      </w:r>
      <w:r w:rsidR="00205A59" w:rsidRPr="00205A59">
        <w:rPr>
          <w:rFonts w:ascii="Verdana" w:hAnsi="Verdana" w:cs="Times New Roman"/>
          <w:i/>
          <w:sz w:val="24"/>
          <w:szCs w:val="24"/>
        </w:rPr>
        <w:t xml:space="preserve">, Luiz </w:t>
      </w:r>
      <w:proofErr w:type="spellStart"/>
      <w:r w:rsidR="00205A59" w:rsidRPr="00205A59">
        <w:rPr>
          <w:rFonts w:ascii="Verdana" w:hAnsi="Verdana" w:cs="Times New Roman"/>
          <w:i/>
          <w:sz w:val="24"/>
          <w:szCs w:val="24"/>
        </w:rPr>
        <w:t>Fux</w:t>
      </w:r>
      <w:proofErr w:type="spellEnd"/>
      <w:r w:rsidR="00205A59" w:rsidRPr="00205A59">
        <w:rPr>
          <w:rFonts w:ascii="Verdana" w:hAnsi="Verdana" w:cs="Times New Roman"/>
          <w:i/>
          <w:sz w:val="24"/>
          <w:szCs w:val="24"/>
        </w:rPr>
        <w:t xml:space="preserve">, Dias </w:t>
      </w:r>
      <w:proofErr w:type="spellStart"/>
      <w:r w:rsidR="00205A59" w:rsidRPr="00205A59">
        <w:rPr>
          <w:rFonts w:ascii="Verdana" w:hAnsi="Verdana" w:cs="Times New Roman"/>
          <w:i/>
          <w:sz w:val="24"/>
          <w:szCs w:val="24"/>
        </w:rPr>
        <w:t>Toffoli</w:t>
      </w:r>
      <w:proofErr w:type="spellEnd"/>
      <w:r w:rsidR="00205A59" w:rsidRPr="00205A59">
        <w:rPr>
          <w:rFonts w:ascii="Verdana" w:hAnsi="Verdana" w:cs="Times New Roman"/>
          <w:i/>
          <w:sz w:val="24"/>
          <w:szCs w:val="24"/>
        </w:rPr>
        <w:t xml:space="preserve"> e Gilmar Mendes. Reajustou o voto o Ministro Ricardo </w:t>
      </w:r>
      <w:proofErr w:type="spellStart"/>
      <w:r w:rsidR="00205A59" w:rsidRPr="00205A59">
        <w:rPr>
          <w:rFonts w:ascii="Verdana" w:hAnsi="Verdana" w:cs="Times New Roman"/>
          <w:i/>
          <w:sz w:val="24"/>
          <w:szCs w:val="24"/>
        </w:rPr>
        <w:t>Lewandowski</w:t>
      </w:r>
      <w:proofErr w:type="spellEnd"/>
      <w:r w:rsidR="00205A59" w:rsidRPr="00205A59">
        <w:rPr>
          <w:rFonts w:ascii="Verdana" w:hAnsi="Verdana" w:cs="Times New Roman"/>
          <w:i/>
          <w:sz w:val="24"/>
          <w:szCs w:val="24"/>
        </w:rPr>
        <w:t>, para acompanhar o Relator. Em seguida, o Tribunal fixou a seguinte tese de repercussão geral: "</w:t>
      </w:r>
      <w:r w:rsidR="00205A59" w:rsidRPr="0050212D">
        <w:rPr>
          <w:rFonts w:ascii="Verdana" w:hAnsi="Verdana" w:cs="Times New Roman"/>
          <w:i/>
          <w:sz w:val="24"/>
          <w:szCs w:val="24"/>
          <w:u w:val="single"/>
        </w:rPr>
        <w:t>Os requisitos para o gozo de imunidade hão de estar previstos em lei complementar"</w:t>
      </w:r>
      <w:r w:rsidR="00205A59" w:rsidRPr="00205A59">
        <w:rPr>
          <w:rFonts w:ascii="Verdana" w:hAnsi="Verdana" w:cs="Times New Roman"/>
          <w:i/>
          <w:sz w:val="24"/>
          <w:szCs w:val="24"/>
        </w:rPr>
        <w:t xml:space="preserve">. Não votou o Ministro Edson Fachin por suceder o Ministro Joaquim Barbosa. Ausente, justificadamente, o Ministro Luiz </w:t>
      </w:r>
      <w:proofErr w:type="spellStart"/>
      <w:r w:rsidR="00205A59" w:rsidRPr="00205A59">
        <w:rPr>
          <w:rFonts w:ascii="Verdana" w:hAnsi="Verdana" w:cs="Times New Roman"/>
          <w:i/>
          <w:sz w:val="24"/>
          <w:szCs w:val="24"/>
        </w:rPr>
        <w:t>Fux</w:t>
      </w:r>
      <w:proofErr w:type="spellEnd"/>
      <w:r w:rsidR="00205A59" w:rsidRPr="00205A59">
        <w:rPr>
          <w:rFonts w:ascii="Verdana" w:hAnsi="Verdana" w:cs="Times New Roman"/>
          <w:i/>
          <w:sz w:val="24"/>
          <w:szCs w:val="24"/>
        </w:rPr>
        <w:t xml:space="preserve">, que proferiu voto em assentada anterior. Presidência da Ministra </w:t>
      </w:r>
      <w:proofErr w:type="spellStart"/>
      <w:r w:rsidR="00205A59" w:rsidRPr="00205A59">
        <w:rPr>
          <w:rFonts w:ascii="Verdana" w:hAnsi="Verdana" w:cs="Times New Roman"/>
          <w:i/>
          <w:sz w:val="24"/>
          <w:szCs w:val="24"/>
        </w:rPr>
        <w:t>Cármen</w:t>
      </w:r>
      <w:proofErr w:type="spellEnd"/>
      <w:r w:rsidR="00205A59" w:rsidRPr="00205A59">
        <w:rPr>
          <w:rFonts w:ascii="Verdana" w:hAnsi="Verdana" w:cs="Times New Roman"/>
          <w:i/>
          <w:sz w:val="24"/>
          <w:szCs w:val="24"/>
        </w:rPr>
        <w:t xml:space="preserve"> Lúcia. Plenário, 23.02.2017.</w:t>
      </w:r>
    </w:p>
    <w:p w:rsidR="00205A59" w:rsidRPr="00205A59" w:rsidRDefault="00205A59" w:rsidP="00205A59">
      <w:pPr>
        <w:spacing w:after="0" w:line="240" w:lineRule="auto"/>
        <w:ind w:left="1134"/>
        <w:jc w:val="both"/>
        <w:rPr>
          <w:rFonts w:ascii="Verdana" w:hAnsi="Verdana" w:cs="Times New Roman"/>
          <w:i/>
          <w:sz w:val="24"/>
          <w:szCs w:val="24"/>
        </w:rPr>
      </w:pPr>
      <w:r w:rsidRPr="00205A59">
        <w:rPr>
          <w:rFonts w:ascii="Verdana" w:hAnsi="Verdana" w:cs="Times New Roman"/>
          <w:i/>
          <w:sz w:val="24"/>
          <w:szCs w:val="24"/>
        </w:rPr>
        <w:t xml:space="preserve">Presidência da Senhora Ministra </w:t>
      </w:r>
      <w:proofErr w:type="spellStart"/>
      <w:r w:rsidRPr="00205A59">
        <w:rPr>
          <w:rFonts w:ascii="Verdana" w:hAnsi="Verdana" w:cs="Times New Roman"/>
          <w:i/>
          <w:sz w:val="24"/>
          <w:szCs w:val="24"/>
        </w:rPr>
        <w:t>Cármen</w:t>
      </w:r>
      <w:proofErr w:type="spellEnd"/>
      <w:r w:rsidRPr="00205A59">
        <w:rPr>
          <w:rFonts w:ascii="Verdana" w:hAnsi="Verdana" w:cs="Times New Roman"/>
          <w:i/>
          <w:sz w:val="24"/>
          <w:szCs w:val="24"/>
        </w:rPr>
        <w:t xml:space="preserve"> Lúcia. Presentes à sessão os Senhores Ministros Celso de Mello, Marco Aurélio, Gilmar Mendes</w:t>
      </w:r>
      <w:r w:rsidR="0017131B">
        <w:rPr>
          <w:rFonts w:ascii="Verdana" w:hAnsi="Verdana" w:cs="Times New Roman"/>
          <w:i/>
          <w:sz w:val="24"/>
          <w:szCs w:val="24"/>
        </w:rPr>
        <w:t xml:space="preserve">, Ricardo </w:t>
      </w:r>
      <w:proofErr w:type="spellStart"/>
      <w:r w:rsidR="0017131B">
        <w:rPr>
          <w:rFonts w:ascii="Verdana" w:hAnsi="Verdana" w:cs="Times New Roman"/>
          <w:i/>
          <w:sz w:val="24"/>
          <w:szCs w:val="24"/>
        </w:rPr>
        <w:t>Lewandowski</w:t>
      </w:r>
      <w:proofErr w:type="spellEnd"/>
      <w:r w:rsidR="0017131B">
        <w:rPr>
          <w:rFonts w:ascii="Verdana" w:hAnsi="Verdana" w:cs="Times New Roman"/>
          <w:i/>
          <w:sz w:val="24"/>
          <w:szCs w:val="24"/>
        </w:rPr>
        <w:t xml:space="preserve">, Dias </w:t>
      </w:r>
      <w:proofErr w:type="spellStart"/>
      <w:r w:rsidR="0017131B">
        <w:rPr>
          <w:rFonts w:ascii="Verdana" w:hAnsi="Verdana" w:cs="Times New Roman"/>
          <w:i/>
          <w:sz w:val="24"/>
          <w:szCs w:val="24"/>
        </w:rPr>
        <w:t>Toff</w:t>
      </w:r>
      <w:r w:rsidRPr="00205A59">
        <w:rPr>
          <w:rFonts w:ascii="Verdana" w:hAnsi="Verdana" w:cs="Times New Roman"/>
          <w:i/>
          <w:sz w:val="24"/>
          <w:szCs w:val="24"/>
        </w:rPr>
        <w:t>oli</w:t>
      </w:r>
      <w:proofErr w:type="spellEnd"/>
      <w:r w:rsidRPr="00205A59">
        <w:rPr>
          <w:rFonts w:ascii="Verdana" w:hAnsi="Verdana" w:cs="Times New Roman"/>
          <w:i/>
          <w:sz w:val="24"/>
          <w:szCs w:val="24"/>
        </w:rPr>
        <w:t>, Rosa Weber, Roberto Barroso e Edson Fachin.</w:t>
      </w:r>
    </w:p>
    <w:p w:rsidR="00205A59" w:rsidRPr="00205A59" w:rsidRDefault="00205A59" w:rsidP="00205A59">
      <w:pPr>
        <w:spacing w:after="0" w:line="240" w:lineRule="auto"/>
        <w:ind w:left="1134"/>
        <w:jc w:val="both"/>
        <w:rPr>
          <w:rFonts w:ascii="Verdana" w:hAnsi="Verdana" w:cs="Times New Roman"/>
          <w:i/>
          <w:sz w:val="24"/>
          <w:szCs w:val="24"/>
        </w:rPr>
      </w:pPr>
      <w:r w:rsidRPr="00205A59">
        <w:rPr>
          <w:rFonts w:ascii="Verdana" w:hAnsi="Verdana" w:cs="Times New Roman"/>
          <w:i/>
          <w:sz w:val="24"/>
          <w:szCs w:val="24"/>
        </w:rPr>
        <w:t xml:space="preserve">Procurador-Geral da República, Dr. Rodrigo </w:t>
      </w:r>
      <w:proofErr w:type="spellStart"/>
      <w:r w:rsidRPr="00205A59">
        <w:rPr>
          <w:rFonts w:ascii="Verdana" w:hAnsi="Verdana" w:cs="Times New Roman"/>
          <w:i/>
          <w:sz w:val="24"/>
          <w:szCs w:val="24"/>
        </w:rPr>
        <w:t>Janot</w:t>
      </w:r>
      <w:proofErr w:type="spellEnd"/>
      <w:r w:rsidRPr="00205A59">
        <w:rPr>
          <w:rFonts w:ascii="Verdana" w:hAnsi="Verdana" w:cs="Times New Roman"/>
          <w:i/>
          <w:sz w:val="24"/>
          <w:szCs w:val="24"/>
        </w:rPr>
        <w:t xml:space="preserve"> Monteiro de Barros.</w:t>
      </w:r>
    </w:p>
    <w:p w:rsidR="00205A59" w:rsidRPr="00205A59" w:rsidRDefault="00205A59" w:rsidP="00205A59">
      <w:pPr>
        <w:spacing w:after="0" w:line="240" w:lineRule="auto"/>
        <w:ind w:left="1134"/>
        <w:jc w:val="both"/>
        <w:rPr>
          <w:rFonts w:ascii="Verdana" w:hAnsi="Verdana" w:cs="Times New Roman"/>
          <w:i/>
          <w:sz w:val="24"/>
          <w:szCs w:val="24"/>
        </w:rPr>
      </w:pPr>
      <w:r w:rsidRPr="00205A59">
        <w:rPr>
          <w:rFonts w:ascii="Verdana" w:hAnsi="Verdana" w:cs="Times New Roman"/>
          <w:i/>
          <w:sz w:val="24"/>
          <w:szCs w:val="24"/>
        </w:rPr>
        <w:t>p/</w:t>
      </w:r>
      <w:proofErr w:type="spellStart"/>
      <w:r w:rsidRPr="00205A59">
        <w:rPr>
          <w:rFonts w:ascii="Verdana" w:hAnsi="Verdana" w:cs="Times New Roman"/>
          <w:i/>
          <w:sz w:val="24"/>
          <w:szCs w:val="24"/>
        </w:rPr>
        <w:t>Doralúcia</w:t>
      </w:r>
      <w:proofErr w:type="spellEnd"/>
      <w:r w:rsidRPr="00205A59">
        <w:rPr>
          <w:rFonts w:ascii="Verdana" w:hAnsi="Verdana" w:cs="Times New Roman"/>
          <w:i/>
          <w:sz w:val="24"/>
          <w:szCs w:val="24"/>
        </w:rPr>
        <w:t xml:space="preserve"> das Neves Santos</w:t>
      </w:r>
    </w:p>
    <w:p w:rsidR="00671189" w:rsidRDefault="00205A59" w:rsidP="00205A59">
      <w:pPr>
        <w:spacing w:after="0" w:line="240" w:lineRule="auto"/>
        <w:ind w:left="1134"/>
        <w:jc w:val="both"/>
        <w:rPr>
          <w:rFonts w:ascii="Verdana" w:hAnsi="Verdana" w:cs="Times New Roman"/>
          <w:i/>
          <w:sz w:val="24"/>
          <w:szCs w:val="24"/>
        </w:rPr>
      </w:pPr>
      <w:r w:rsidRPr="00205A59">
        <w:rPr>
          <w:rFonts w:ascii="Verdana" w:hAnsi="Verdana" w:cs="Times New Roman"/>
          <w:i/>
          <w:sz w:val="24"/>
          <w:szCs w:val="24"/>
        </w:rPr>
        <w:t>Assessora-Chefe do Plenário”</w:t>
      </w:r>
      <w:r w:rsidR="0050212D">
        <w:rPr>
          <w:rFonts w:ascii="Verdana" w:hAnsi="Verdana" w:cs="Times New Roman"/>
          <w:i/>
          <w:sz w:val="24"/>
          <w:szCs w:val="24"/>
        </w:rPr>
        <w:t xml:space="preserve">  (grifos meus) </w:t>
      </w:r>
      <w:r w:rsidR="00D70878">
        <w:rPr>
          <w:rFonts w:ascii="Verdana" w:hAnsi="Verdana" w:cs="Times New Roman"/>
          <w:i/>
          <w:sz w:val="24"/>
          <w:szCs w:val="24"/>
        </w:rPr>
        <w:t xml:space="preserve"> </w:t>
      </w:r>
      <w:r w:rsidR="00D70878">
        <w:rPr>
          <w:rStyle w:val="Refdenotaderodap"/>
          <w:rFonts w:ascii="Verdana" w:hAnsi="Verdana" w:cs="Times New Roman"/>
          <w:i/>
          <w:sz w:val="24"/>
          <w:szCs w:val="24"/>
        </w:rPr>
        <w:footnoteReference w:id="11"/>
      </w:r>
      <w:r w:rsidR="00D70878">
        <w:rPr>
          <w:rFonts w:ascii="Verdana" w:hAnsi="Verdana" w:cs="Times New Roman"/>
          <w:i/>
          <w:sz w:val="24"/>
          <w:szCs w:val="24"/>
        </w:rPr>
        <w:t>;</w:t>
      </w:r>
    </w:p>
    <w:p w:rsidR="00D70878" w:rsidRDefault="00D70878" w:rsidP="00205A59">
      <w:pPr>
        <w:spacing w:after="0" w:line="240" w:lineRule="auto"/>
        <w:ind w:left="1134"/>
        <w:jc w:val="both"/>
        <w:rPr>
          <w:rFonts w:ascii="Verdana" w:hAnsi="Verdana" w:cs="Times New Roman"/>
          <w:i/>
          <w:sz w:val="24"/>
          <w:szCs w:val="24"/>
        </w:rPr>
      </w:pPr>
    </w:p>
    <w:p w:rsidR="00D70878" w:rsidRPr="00D70878" w:rsidRDefault="00D70878" w:rsidP="00D70878">
      <w:pPr>
        <w:spacing w:after="0" w:line="240" w:lineRule="auto"/>
        <w:ind w:left="1134"/>
        <w:jc w:val="both"/>
        <w:rPr>
          <w:rFonts w:ascii="Verdana" w:hAnsi="Verdana" w:cs="Times New Roman"/>
          <w:i/>
          <w:sz w:val="24"/>
          <w:szCs w:val="24"/>
        </w:rPr>
      </w:pPr>
    </w:p>
    <w:p w:rsidR="00D70878" w:rsidRPr="00D70878" w:rsidRDefault="00D70878" w:rsidP="00D70878">
      <w:pPr>
        <w:spacing w:after="0" w:line="240" w:lineRule="auto"/>
        <w:ind w:left="1134"/>
        <w:jc w:val="both"/>
        <w:rPr>
          <w:rFonts w:ascii="Verdana" w:hAnsi="Verdana" w:cs="Times New Roman"/>
          <w:i/>
          <w:sz w:val="24"/>
          <w:szCs w:val="24"/>
        </w:rPr>
      </w:pPr>
      <w:r>
        <w:rPr>
          <w:rFonts w:ascii="Verdana" w:hAnsi="Verdana" w:cs="Times New Roman"/>
          <w:i/>
          <w:sz w:val="24"/>
          <w:szCs w:val="24"/>
        </w:rPr>
        <w:lastRenderedPageBreak/>
        <w:t>“</w:t>
      </w:r>
      <w:r w:rsidRPr="00D70878">
        <w:rPr>
          <w:rFonts w:ascii="Verdana" w:hAnsi="Verdana" w:cs="Times New Roman"/>
          <w:i/>
          <w:sz w:val="24"/>
          <w:szCs w:val="24"/>
        </w:rPr>
        <w:t>CERTIFICO que o PLENÁRIO, ao apreciar o processo em epígrafe, em sessão realizada nesta data, proferiu a seguinte decisão:</w:t>
      </w:r>
    </w:p>
    <w:p w:rsidR="00D70878" w:rsidRDefault="00D70878" w:rsidP="00D70878">
      <w:pPr>
        <w:spacing w:after="0" w:line="240" w:lineRule="auto"/>
        <w:ind w:left="1134"/>
        <w:jc w:val="both"/>
        <w:rPr>
          <w:rFonts w:ascii="Verdana" w:hAnsi="Verdana" w:cs="Times New Roman"/>
          <w:i/>
          <w:sz w:val="24"/>
          <w:szCs w:val="24"/>
        </w:rPr>
      </w:pPr>
      <w:r w:rsidRPr="00D70878">
        <w:rPr>
          <w:rFonts w:ascii="Verdana" w:hAnsi="Verdana" w:cs="Times New Roman"/>
          <w:i/>
          <w:sz w:val="24"/>
          <w:szCs w:val="24"/>
        </w:rPr>
        <w:t xml:space="preserve">Decisão: Após o voto do Relator, Ministro Joaquim Barbosa </w:t>
      </w:r>
      <w:r>
        <w:rPr>
          <w:rFonts w:ascii="Verdana" w:hAnsi="Verdana" w:cs="Times New Roman"/>
          <w:i/>
          <w:sz w:val="24"/>
          <w:szCs w:val="24"/>
        </w:rPr>
        <w:t>(</w:t>
      </w:r>
      <w:r w:rsidRPr="00D70878">
        <w:rPr>
          <w:rFonts w:ascii="Verdana" w:hAnsi="Verdana" w:cs="Times New Roman"/>
          <w:i/>
          <w:sz w:val="24"/>
          <w:szCs w:val="24"/>
        </w:rPr>
        <w:t xml:space="preserve">Presidente), julgando parcialmente procedente a ação direta, no que foi acompanhado pelos Ministros </w:t>
      </w:r>
      <w:proofErr w:type="spellStart"/>
      <w:r w:rsidRPr="00D70878">
        <w:rPr>
          <w:rFonts w:ascii="Verdana" w:hAnsi="Verdana" w:cs="Times New Roman"/>
          <w:i/>
          <w:sz w:val="24"/>
          <w:szCs w:val="24"/>
        </w:rPr>
        <w:t>Cármen</w:t>
      </w:r>
      <w:proofErr w:type="spellEnd"/>
      <w:r w:rsidRPr="00D70878">
        <w:rPr>
          <w:rFonts w:ascii="Verdana" w:hAnsi="Verdana" w:cs="Times New Roman"/>
          <w:i/>
          <w:sz w:val="24"/>
          <w:szCs w:val="24"/>
        </w:rPr>
        <w:t xml:space="preserve"> Lúcia e Roberto Barroso, pediu vista dos autos o Ministro </w:t>
      </w:r>
      <w:proofErr w:type="spellStart"/>
      <w:r w:rsidRPr="00D70878">
        <w:rPr>
          <w:rFonts w:ascii="Verdana" w:hAnsi="Verdana" w:cs="Times New Roman"/>
          <w:i/>
          <w:sz w:val="24"/>
          <w:szCs w:val="24"/>
        </w:rPr>
        <w:t>Teori</w:t>
      </w:r>
      <w:proofErr w:type="spellEnd"/>
      <w:r w:rsidRPr="00D70878">
        <w:rPr>
          <w:rFonts w:ascii="Verdana" w:hAnsi="Verdana" w:cs="Times New Roman"/>
          <w:i/>
          <w:sz w:val="24"/>
          <w:szCs w:val="24"/>
        </w:rPr>
        <w:t xml:space="preserve"> Zavascki. Impedido o Ministro Gilmar Mendes. Ausente o Ministro Dias </w:t>
      </w:r>
      <w:proofErr w:type="spellStart"/>
      <w:r w:rsidRPr="00D70878">
        <w:rPr>
          <w:rFonts w:ascii="Verdana" w:hAnsi="Verdana" w:cs="Times New Roman"/>
          <w:i/>
          <w:sz w:val="24"/>
          <w:szCs w:val="24"/>
        </w:rPr>
        <w:t>Toffoli</w:t>
      </w:r>
      <w:proofErr w:type="spellEnd"/>
      <w:r w:rsidRPr="00D70878">
        <w:rPr>
          <w:rFonts w:ascii="Verdana" w:hAnsi="Verdana" w:cs="Times New Roman"/>
          <w:i/>
          <w:sz w:val="24"/>
          <w:szCs w:val="24"/>
        </w:rPr>
        <w:t xml:space="preserve"> representando o Tribunal na III Assembleia da Conferência das Jurisdições Constitucionais dos Países de Língua Portuguesa, em Angola. Falaram, pela requerente Confederação Nacional de Saúde - Hospitais, Estabelecimentos e Serviços, o Dr. Ives Gandra da Silva Martins, e, pela Advocacia-Geral da União, a Dra. Grace Maria Fernandes Mendonça, Secretária Geral de Contencioso. Plenário, 04.06.2014</w:t>
      </w:r>
      <w:r>
        <w:rPr>
          <w:rFonts w:ascii="Verdana" w:hAnsi="Verdana" w:cs="Times New Roman"/>
          <w:i/>
          <w:sz w:val="24"/>
          <w:szCs w:val="24"/>
        </w:rPr>
        <w:t xml:space="preserve">” </w:t>
      </w:r>
      <w:r>
        <w:rPr>
          <w:rStyle w:val="Refdenotaderodap"/>
          <w:rFonts w:ascii="Verdana" w:hAnsi="Verdana" w:cs="Times New Roman"/>
          <w:i/>
          <w:sz w:val="24"/>
          <w:szCs w:val="24"/>
        </w:rPr>
        <w:footnoteReference w:id="12"/>
      </w:r>
      <w:r>
        <w:rPr>
          <w:rFonts w:ascii="Verdana" w:hAnsi="Verdana" w:cs="Times New Roman"/>
          <w:i/>
          <w:sz w:val="24"/>
          <w:szCs w:val="24"/>
        </w:rPr>
        <w:t>;</w:t>
      </w:r>
    </w:p>
    <w:p w:rsidR="00D70878" w:rsidRDefault="00D70878" w:rsidP="00D70878">
      <w:pPr>
        <w:spacing w:after="0" w:line="240" w:lineRule="auto"/>
        <w:ind w:left="1134"/>
        <w:jc w:val="both"/>
        <w:rPr>
          <w:rFonts w:ascii="Verdana" w:hAnsi="Verdana" w:cs="Times New Roman"/>
          <w:i/>
          <w:sz w:val="24"/>
          <w:szCs w:val="24"/>
        </w:rPr>
      </w:pPr>
    </w:p>
    <w:p w:rsidR="00D70878" w:rsidRPr="00D70878" w:rsidRDefault="00D70878" w:rsidP="00D70878">
      <w:pPr>
        <w:spacing w:after="0" w:line="240" w:lineRule="auto"/>
        <w:ind w:left="1134"/>
        <w:jc w:val="both"/>
        <w:rPr>
          <w:rFonts w:ascii="Verdana" w:hAnsi="Verdana" w:cs="Times New Roman"/>
          <w:i/>
          <w:sz w:val="24"/>
          <w:szCs w:val="24"/>
        </w:rPr>
      </w:pPr>
      <w:r>
        <w:rPr>
          <w:rFonts w:ascii="Verdana" w:hAnsi="Verdana" w:cs="Times New Roman"/>
          <w:i/>
          <w:sz w:val="24"/>
          <w:szCs w:val="24"/>
        </w:rPr>
        <w:t>“</w:t>
      </w:r>
      <w:r w:rsidRPr="00D70878">
        <w:rPr>
          <w:rFonts w:ascii="Verdana" w:hAnsi="Verdana" w:cs="Times New Roman"/>
          <w:i/>
          <w:sz w:val="24"/>
          <w:szCs w:val="24"/>
        </w:rPr>
        <w:t xml:space="preserve">Decisão: O Tribunal, por maioria, conheceu da ação direta como arguição de descumprimento de preceito fundamental, vencidos os Ministros Roberto Barroso, Dias </w:t>
      </w:r>
      <w:proofErr w:type="spellStart"/>
      <w:r w:rsidRPr="00D70878">
        <w:rPr>
          <w:rFonts w:ascii="Verdana" w:hAnsi="Verdana" w:cs="Times New Roman"/>
          <w:i/>
          <w:sz w:val="24"/>
          <w:szCs w:val="24"/>
        </w:rPr>
        <w:t>Toffoli</w:t>
      </w:r>
      <w:proofErr w:type="spellEnd"/>
      <w:r w:rsidRPr="00D70878">
        <w:rPr>
          <w:rFonts w:ascii="Verdana" w:hAnsi="Verdana" w:cs="Times New Roman"/>
          <w:i/>
          <w:sz w:val="24"/>
          <w:szCs w:val="24"/>
        </w:rPr>
        <w:t xml:space="preserve">, </w:t>
      </w:r>
      <w:proofErr w:type="spellStart"/>
      <w:r w:rsidRPr="00D70878">
        <w:rPr>
          <w:rFonts w:ascii="Verdana" w:hAnsi="Verdana" w:cs="Times New Roman"/>
          <w:i/>
          <w:sz w:val="24"/>
          <w:szCs w:val="24"/>
        </w:rPr>
        <w:t>Cármen</w:t>
      </w:r>
      <w:proofErr w:type="spellEnd"/>
      <w:r w:rsidRPr="00D70878">
        <w:rPr>
          <w:rFonts w:ascii="Verdana" w:hAnsi="Verdana" w:cs="Times New Roman"/>
          <w:i/>
          <w:sz w:val="24"/>
          <w:szCs w:val="24"/>
        </w:rPr>
        <w:t xml:space="preserve"> Lúcia e Marco Aurélio. No mérito, por unanimidade e nos termos do voto Ministro </w:t>
      </w:r>
      <w:proofErr w:type="spellStart"/>
      <w:r w:rsidRPr="00D70878">
        <w:rPr>
          <w:rFonts w:ascii="Verdana" w:hAnsi="Verdana" w:cs="Times New Roman"/>
          <w:i/>
          <w:sz w:val="24"/>
          <w:szCs w:val="24"/>
        </w:rPr>
        <w:t>Teori</w:t>
      </w:r>
      <w:proofErr w:type="spellEnd"/>
      <w:r w:rsidRPr="00D70878">
        <w:rPr>
          <w:rFonts w:ascii="Verdana" w:hAnsi="Verdana" w:cs="Times New Roman"/>
          <w:i/>
          <w:sz w:val="24"/>
          <w:szCs w:val="24"/>
        </w:rPr>
        <w:t xml:space="preserve"> Zavascki, o Tribunal julgou procedente o pedido, para declarar a inconstitucionalidade do art. 10 da Lei 9.732/1998, na parte em que alterou a redação do art. 55, inciso III, da Lei 8.212/1991 e acrescentou-lhe os §§ 3°, 4° e 5°, bem como dos </w:t>
      </w:r>
      <w:proofErr w:type="spellStart"/>
      <w:r w:rsidRPr="00D70878">
        <w:rPr>
          <w:rFonts w:ascii="Verdana" w:hAnsi="Verdana" w:cs="Times New Roman"/>
          <w:i/>
          <w:sz w:val="24"/>
          <w:szCs w:val="24"/>
        </w:rPr>
        <w:t>arts</w:t>
      </w:r>
      <w:proofErr w:type="spellEnd"/>
      <w:r w:rsidRPr="00D70878">
        <w:rPr>
          <w:rFonts w:ascii="Verdana" w:hAnsi="Verdana" w:cs="Times New Roman"/>
          <w:i/>
          <w:sz w:val="24"/>
          <w:szCs w:val="24"/>
        </w:rPr>
        <w:t xml:space="preserve">. 4°, 5° e 70 da Lei 9.732/1998. Aditou seu voto o Ministro Marco Aurélio, para, vencido na preliminar de conversão da ação direta em arguição de descumprimento de preceito fundamental, assentar a inconstitucionalidade formal do art. 55, inciso III, </w:t>
      </w:r>
      <w:r w:rsidRPr="00D70878">
        <w:rPr>
          <w:rFonts w:ascii="Verdana" w:hAnsi="Verdana" w:cs="Times New Roman"/>
          <w:i/>
          <w:sz w:val="24"/>
          <w:szCs w:val="24"/>
        </w:rPr>
        <w:lastRenderedPageBreak/>
        <w:t xml:space="preserve">da Lei 8.212/1991, na redação conferida pelo art. 1° da Lei 9.732/1998. Redigirá o acórdão a Ministra Rosa Weber. Ausente, justificadamente, o Ministro Roberto Barroso, que proferiu voto em assentada anterior. Impedido o Ministro Gilmar Mendes. Presidiu o julgamento a Ministra </w:t>
      </w:r>
      <w:proofErr w:type="spellStart"/>
      <w:r w:rsidRPr="00D70878">
        <w:rPr>
          <w:rFonts w:ascii="Verdana" w:hAnsi="Verdana" w:cs="Times New Roman"/>
          <w:i/>
          <w:sz w:val="24"/>
          <w:szCs w:val="24"/>
        </w:rPr>
        <w:t>Cármen</w:t>
      </w:r>
      <w:proofErr w:type="spellEnd"/>
      <w:r w:rsidRPr="00D70878">
        <w:rPr>
          <w:rFonts w:ascii="Verdana" w:hAnsi="Verdana" w:cs="Times New Roman"/>
          <w:i/>
          <w:sz w:val="24"/>
          <w:szCs w:val="24"/>
        </w:rPr>
        <w:t xml:space="preserve"> Lúcia. Plenário, 02.03.2017.</w:t>
      </w:r>
    </w:p>
    <w:p w:rsidR="00D70878" w:rsidRPr="00D70878" w:rsidRDefault="00D70878" w:rsidP="00D70878">
      <w:pPr>
        <w:spacing w:after="0" w:line="240" w:lineRule="auto"/>
        <w:ind w:left="1134"/>
        <w:jc w:val="both"/>
        <w:rPr>
          <w:rFonts w:ascii="Verdana" w:hAnsi="Verdana" w:cs="Times New Roman"/>
          <w:i/>
          <w:sz w:val="24"/>
          <w:szCs w:val="24"/>
        </w:rPr>
      </w:pPr>
      <w:r w:rsidRPr="00D70878">
        <w:rPr>
          <w:rFonts w:ascii="Verdana" w:hAnsi="Verdana" w:cs="Times New Roman"/>
          <w:i/>
          <w:sz w:val="24"/>
          <w:szCs w:val="24"/>
        </w:rPr>
        <w:t xml:space="preserve">Presidência da Senhora Ministra </w:t>
      </w:r>
      <w:proofErr w:type="spellStart"/>
      <w:r w:rsidRPr="00D70878">
        <w:rPr>
          <w:rFonts w:ascii="Verdana" w:hAnsi="Verdana" w:cs="Times New Roman"/>
          <w:i/>
          <w:sz w:val="24"/>
          <w:szCs w:val="24"/>
        </w:rPr>
        <w:t>Cármen</w:t>
      </w:r>
      <w:proofErr w:type="spellEnd"/>
      <w:r w:rsidRPr="00D70878">
        <w:rPr>
          <w:rFonts w:ascii="Verdana" w:hAnsi="Verdana" w:cs="Times New Roman"/>
          <w:i/>
          <w:sz w:val="24"/>
          <w:szCs w:val="24"/>
        </w:rPr>
        <w:t xml:space="preserve"> Lúcia. Presentes à sessão os Senhores Ministros Celso de Mello, Marco Aurélio, Ricardo </w:t>
      </w:r>
      <w:proofErr w:type="spellStart"/>
      <w:r w:rsidRPr="00D70878">
        <w:rPr>
          <w:rFonts w:ascii="Verdana" w:hAnsi="Verdana" w:cs="Times New Roman"/>
          <w:i/>
          <w:sz w:val="24"/>
          <w:szCs w:val="24"/>
        </w:rPr>
        <w:t>Lewandowski</w:t>
      </w:r>
      <w:proofErr w:type="spellEnd"/>
      <w:r w:rsidRPr="00D70878">
        <w:rPr>
          <w:rFonts w:ascii="Verdana" w:hAnsi="Verdana" w:cs="Times New Roman"/>
          <w:i/>
          <w:sz w:val="24"/>
          <w:szCs w:val="24"/>
        </w:rPr>
        <w:t xml:space="preserve">, Dias </w:t>
      </w:r>
      <w:proofErr w:type="spellStart"/>
      <w:r w:rsidRPr="00D70878">
        <w:rPr>
          <w:rFonts w:ascii="Verdana" w:hAnsi="Verdana" w:cs="Times New Roman"/>
          <w:i/>
          <w:sz w:val="24"/>
          <w:szCs w:val="24"/>
        </w:rPr>
        <w:t>Toffoli</w:t>
      </w:r>
      <w:proofErr w:type="spellEnd"/>
      <w:r w:rsidRPr="00D70878">
        <w:rPr>
          <w:rFonts w:ascii="Verdana" w:hAnsi="Verdana" w:cs="Times New Roman"/>
          <w:i/>
          <w:sz w:val="24"/>
          <w:szCs w:val="24"/>
        </w:rPr>
        <w:t xml:space="preserve">, Luiz </w:t>
      </w:r>
      <w:proofErr w:type="spellStart"/>
      <w:r w:rsidRPr="00D70878">
        <w:rPr>
          <w:rFonts w:ascii="Verdana" w:hAnsi="Verdana" w:cs="Times New Roman"/>
          <w:i/>
          <w:sz w:val="24"/>
          <w:szCs w:val="24"/>
        </w:rPr>
        <w:t>Fux</w:t>
      </w:r>
      <w:proofErr w:type="spellEnd"/>
      <w:r w:rsidRPr="00D70878">
        <w:rPr>
          <w:rFonts w:ascii="Verdana" w:hAnsi="Verdana" w:cs="Times New Roman"/>
          <w:i/>
          <w:sz w:val="24"/>
          <w:szCs w:val="24"/>
        </w:rPr>
        <w:t>, Rosa Weber e Edson Fachin.</w:t>
      </w:r>
    </w:p>
    <w:p w:rsidR="00D70878" w:rsidRPr="00D70878" w:rsidRDefault="00D70878" w:rsidP="00D70878">
      <w:pPr>
        <w:spacing w:after="0" w:line="240" w:lineRule="auto"/>
        <w:ind w:left="1134"/>
        <w:jc w:val="both"/>
        <w:rPr>
          <w:rFonts w:ascii="Verdana" w:hAnsi="Verdana" w:cs="Times New Roman"/>
          <w:i/>
          <w:sz w:val="24"/>
          <w:szCs w:val="24"/>
        </w:rPr>
      </w:pPr>
      <w:r>
        <w:rPr>
          <w:rFonts w:ascii="Verdana" w:hAnsi="Verdana" w:cs="Times New Roman"/>
          <w:i/>
          <w:sz w:val="24"/>
          <w:szCs w:val="24"/>
        </w:rPr>
        <w:t>Vice-Procurador-</w:t>
      </w:r>
      <w:r w:rsidRPr="00D70878">
        <w:rPr>
          <w:rFonts w:ascii="Verdana" w:hAnsi="Verdana" w:cs="Times New Roman"/>
          <w:i/>
          <w:sz w:val="24"/>
          <w:szCs w:val="24"/>
        </w:rPr>
        <w:t>Geral da República, Dr. José Bonifácio Borges de Andrada.</w:t>
      </w:r>
    </w:p>
    <w:p w:rsidR="00D70878" w:rsidRPr="00D70878" w:rsidRDefault="00D70878" w:rsidP="00D70878">
      <w:pPr>
        <w:spacing w:after="0" w:line="240" w:lineRule="auto"/>
        <w:ind w:left="1134"/>
        <w:jc w:val="both"/>
        <w:rPr>
          <w:rFonts w:ascii="Verdana" w:hAnsi="Verdana" w:cs="Times New Roman"/>
          <w:i/>
          <w:sz w:val="24"/>
          <w:szCs w:val="24"/>
        </w:rPr>
      </w:pPr>
      <w:r w:rsidRPr="00D70878">
        <w:rPr>
          <w:rFonts w:ascii="Verdana" w:hAnsi="Verdana" w:cs="Times New Roman"/>
          <w:i/>
          <w:sz w:val="24"/>
          <w:szCs w:val="24"/>
        </w:rPr>
        <w:t xml:space="preserve">p/ </w:t>
      </w:r>
      <w:proofErr w:type="spellStart"/>
      <w:r w:rsidRPr="00D70878">
        <w:rPr>
          <w:rFonts w:ascii="Verdana" w:hAnsi="Verdana" w:cs="Times New Roman"/>
          <w:i/>
          <w:sz w:val="24"/>
          <w:szCs w:val="24"/>
        </w:rPr>
        <w:t>Doralúcia</w:t>
      </w:r>
      <w:proofErr w:type="spellEnd"/>
      <w:r w:rsidRPr="00D70878">
        <w:rPr>
          <w:rFonts w:ascii="Verdana" w:hAnsi="Verdana" w:cs="Times New Roman"/>
          <w:i/>
          <w:sz w:val="24"/>
          <w:szCs w:val="24"/>
        </w:rPr>
        <w:t xml:space="preserve"> das Neves Santos</w:t>
      </w:r>
    </w:p>
    <w:p w:rsidR="00D70878" w:rsidRPr="00D70878" w:rsidRDefault="00D70878" w:rsidP="00D70878">
      <w:pPr>
        <w:spacing w:after="0" w:line="240" w:lineRule="auto"/>
        <w:ind w:left="1134"/>
        <w:jc w:val="both"/>
        <w:rPr>
          <w:rFonts w:ascii="Verdana" w:hAnsi="Verdana" w:cs="Times New Roman"/>
          <w:i/>
          <w:sz w:val="24"/>
          <w:szCs w:val="24"/>
        </w:rPr>
      </w:pPr>
      <w:r w:rsidRPr="00D70878">
        <w:rPr>
          <w:rFonts w:ascii="Verdana" w:hAnsi="Verdana" w:cs="Times New Roman"/>
          <w:i/>
          <w:sz w:val="24"/>
          <w:szCs w:val="24"/>
        </w:rPr>
        <w:t>Assessora-Chefe do Plenário</w:t>
      </w:r>
      <w:r>
        <w:rPr>
          <w:rFonts w:ascii="Verdana" w:hAnsi="Verdana" w:cs="Times New Roman"/>
          <w:i/>
          <w:sz w:val="24"/>
          <w:szCs w:val="24"/>
        </w:rPr>
        <w:t xml:space="preserve">” </w:t>
      </w:r>
      <w:r>
        <w:rPr>
          <w:rStyle w:val="Refdenotaderodap"/>
          <w:rFonts w:ascii="Verdana" w:hAnsi="Verdana" w:cs="Times New Roman"/>
          <w:i/>
          <w:sz w:val="24"/>
          <w:szCs w:val="24"/>
        </w:rPr>
        <w:footnoteReference w:id="13"/>
      </w:r>
      <w:r>
        <w:rPr>
          <w:rFonts w:ascii="Verdana" w:hAnsi="Verdana" w:cs="Times New Roman"/>
          <w:i/>
          <w:sz w:val="24"/>
          <w:szCs w:val="24"/>
        </w:rPr>
        <w:t>.</w:t>
      </w:r>
    </w:p>
    <w:p w:rsidR="00D70878" w:rsidRPr="00205A59" w:rsidRDefault="00D70878" w:rsidP="00D70878">
      <w:pPr>
        <w:spacing w:after="0" w:line="240" w:lineRule="auto"/>
        <w:ind w:left="1134"/>
        <w:jc w:val="both"/>
        <w:rPr>
          <w:rFonts w:ascii="Verdana" w:hAnsi="Verdana" w:cs="Times New Roman"/>
          <w:i/>
          <w:sz w:val="24"/>
          <w:szCs w:val="24"/>
        </w:rPr>
      </w:pPr>
    </w:p>
    <w:p w:rsidR="00671189" w:rsidRDefault="00032412" w:rsidP="00032412">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Os r</w:t>
      </w:r>
      <w:r w:rsidR="00356F57">
        <w:rPr>
          <w:rFonts w:ascii="Verdana" w:hAnsi="Verdana" w:cs="Times New Roman"/>
          <w:sz w:val="24"/>
          <w:szCs w:val="24"/>
        </w:rPr>
        <w:t>equisitos</w:t>
      </w:r>
      <w:r>
        <w:rPr>
          <w:rFonts w:ascii="Verdana" w:hAnsi="Verdana" w:cs="Times New Roman"/>
          <w:sz w:val="24"/>
          <w:szCs w:val="24"/>
        </w:rPr>
        <w:t xml:space="preserve"> objetivos não podem, à evidência, desnaturar</w:t>
      </w:r>
      <w:r w:rsidR="0050212D">
        <w:rPr>
          <w:rFonts w:ascii="Verdana" w:hAnsi="Verdana" w:cs="Times New Roman"/>
          <w:sz w:val="24"/>
          <w:szCs w:val="24"/>
        </w:rPr>
        <w:t xml:space="preserve"> o gozo das</w:t>
      </w:r>
      <w:r>
        <w:rPr>
          <w:rFonts w:ascii="Verdana" w:hAnsi="Verdana" w:cs="Times New Roman"/>
          <w:sz w:val="24"/>
          <w:szCs w:val="24"/>
        </w:rPr>
        <w:t xml:space="preserve"> imunidades, criando óbices inaceitáveis ou que </w:t>
      </w:r>
      <w:r w:rsidR="0050212D">
        <w:rPr>
          <w:rFonts w:ascii="Verdana" w:hAnsi="Verdana" w:cs="Times New Roman"/>
          <w:sz w:val="24"/>
          <w:szCs w:val="24"/>
        </w:rPr>
        <w:t xml:space="preserve">as </w:t>
      </w:r>
      <w:r>
        <w:rPr>
          <w:rFonts w:ascii="Verdana" w:hAnsi="Verdana" w:cs="Times New Roman"/>
          <w:sz w:val="24"/>
          <w:szCs w:val="24"/>
        </w:rPr>
        <w:t xml:space="preserve">inviabilizem. </w:t>
      </w:r>
      <w:r w:rsidRPr="00032412">
        <w:rPr>
          <w:rFonts w:ascii="Verdana" w:hAnsi="Verdana" w:cs="Times New Roman"/>
          <w:sz w:val="24"/>
          <w:szCs w:val="24"/>
          <w:u w:val="single"/>
        </w:rPr>
        <w:t>A lei complementar pode apenas explicitar o conteúdo constitucional</w:t>
      </w:r>
      <w:r w:rsidR="00C27569">
        <w:rPr>
          <w:rFonts w:ascii="Verdana" w:hAnsi="Verdana" w:cs="Times New Roman"/>
          <w:sz w:val="24"/>
          <w:szCs w:val="24"/>
          <w:u w:val="single"/>
        </w:rPr>
        <w:t>,</w:t>
      </w:r>
      <w:r>
        <w:rPr>
          <w:rFonts w:ascii="Verdana" w:hAnsi="Verdana" w:cs="Times New Roman"/>
          <w:sz w:val="24"/>
          <w:szCs w:val="24"/>
          <w:u w:val="single"/>
        </w:rPr>
        <w:t xml:space="preserve"> </w:t>
      </w:r>
      <w:r w:rsidRPr="00032412">
        <w:rPr>
          <w:rFonts w:ascii="Verdana" w:hAnsi="Verdana" w:cs="Times New Roman"/>
          <w:sz w:val="24"/>
          <w:szCs w:val="24"/>
        </w:rPr>
        <w:t xml:space="preserve">conforme </w:t>
      </w:r>
      <w:r w:rsidR="002A3345">
        <w:rPr>
          <w:rFonts w:ascii="Verdana" w:hAnsi="Verdana" w:cs="Times New Roman"/>
          <w:sz w:val="24"/>
          <w:szCs w:val="24"/>
        </w:rPr>
        <w:t>explic</w:t>
      </w:r>
      <w:r w:rsidR="00C27569">
        <w:rPr>
          <w:rFonts w:ascii="Verdana" w:hAnsi="Verdana" w:cs="Times New Roman"/>
          <w:sz w:val="24"/>
          <w:szCs w:val="24"/>
        </w:rPr>
        <w:t>ou a</w:t>
      </w:r>
      <w:r>
        <w:rPr>
          <w:rFonts w:ascii="Verdana" w:hAnsi="Verdana" w:cs="Times New Roman"/>
          <w:sz w:val="24"/>
          <w:szCs w:val="24"/>
        </w:rPr>
        <w:t>quele que, talvez</w:t>
      </w:r>
      <w:r w:rsidR="00C27569">
        <w:rPr>
          <w:rFonts w:ascii="Verdana" w:hAnsi="Verdana" w:cs="Times New Roman"/>
          <w:sz w:val="24"/>
          <w:szCs w:val="24"/>
        </w:rPr>
        <w:t>,</w:t>
      </w:r>
      <w:r>
        <w:rPr>
          <w:rFonts w:ascii="Verdana" w:hAnsi="Verdana" w:cs="Times New Roman"/>
          <w:sz w:val="24"/>
          <w:szCs w:val="24"/>
        </w:rPr>
        <w:t xml:space="preserve"> tenha sido a maior figura da história da Suprema Corte,</w:t>
      </w:r>
      <w:r w:rsidR="00C27569">
        <w:rPr>
          <w:rFonts w:ascii="Verdana" w:hAnsi="Verdana" w:cs="Times New Roman"/>
          <w:sz w:val="24"/>
          <w:szCs w:val="24"/>
        </w:rPr>
        <w:t xml:space="preserve"> o</w:t>
      </w:r>
      <w:r>
        <w:rPr>
          <w:rFonts w:ascii="Verdana" w:hAnsi="Verdana" w:cs="Times New Roman"/>
          <w:sz w:val="24"/>
          <w:szCs w:val="24"/>
        </w:rPr>
        <w:t xml:space="preserve"> </w:t>
      </w:r>
      <w:r w:rsidR="0050212D">
        <w:rPr>
          <w:rFonts w:ascii="Verdana" w:hAnsi="Verdana" w:cs="Times New Roman"/>
          <w:sz w:val="24"/>
          <w:szCs w:val="24"/>
        </w:rPr>
        <w:t xml:space="preserve">Ministro Moreira Alves, </w:t>
      </w:r>
      <w:r w:rsidR="00C27569">
        <w:rPr>
          <w:rFonts w:ascii="Verdana" w:hAnsi="Verdana" w:cs="Times New Roman"/>
          <w:sz w:val="24"/>
          <w:szCs w:val="24"/>
        </w:rPr>
        <w:t>ao dizer:</w:t>
      </w:r>
    </w:p>
    <w:p w:rsidR="00032412" w:rsidRPr="00032412" w:rsidRDefault="00032412" w:rsidP="00032412">
      <w:pPr>
        <w:spacing w:after="0" w:line="240" w:lineRule="auto"/>
        <w:ind w:left="1134"/>
        <w:jc w:val="both"/>
        <w:rPr>
          <w:rFonts w:ascii="Verdana" w:hAnsi="Verdana"/>
          <w:i/>
          <w:iCs/>
          <w:sz w:val="24"/>
          <w:szCs w:val="24"/>
        </w:rPr>
      </w:pPr>
      <w:r w:rsidRPr="00032412">
        <w:rPr>
          <w:rFonts w:ascii="Verdana" w:hAnsi="Verdana"/>
          <w:i/>
          <w:iCs/>
          <w:sz w:val="24"/>
          <w:szCs w:val="24"/>
        </w:rPr>
        <w:t xml:space="preserve">“Mas o Ministro Soares </w:t>
      </w:r>
      <w:proofErr w:type="spellStart"/>
      <w:r w:rsidRPr="00032412">
        <w:rPr>
          <w:rFonts w:ascii="Verdana" w:hAnsi="Verdana"/>
          <w:i/>
          <w:iCs/>
          <w:sz w:val="24"/>
          <w:szCs w:val="24"/>
        </w:rPr>
        <w:t>Muñoz</w:t>
      </w:r>
      <w:proofErr w:type="spellEnd"/>
      <w:r w:rsidRPr="00032412">
        <w:rPr>
          <w:rFonts w:ascii="Verdana" w:hAnsi="Verdana"/>
          <w:i/>
          <w:iCs/>
          <w:sz w:val="24"/>
          <w:szCs w:val="24"/>
        </w:rPr>
        <w:t xml:space="preserve">  não decidiu isso. Ele não estava tratando, aqui, de saber se era lei complementar ou não era lei complementar. Tanto que ele disse o seguinte: "Esse decreto-lei, anterior à Constituição Federal em vigor, </w:t>
      </w:r>
      <w:r w:rsidRPr="00032412">
        <w:rPr>
          <w:rFonts w:ascii="Verdana" w:hAnsi="Verdana"/>
          <w:i/>
          <w:iCs/>
          <w:sz w:val="24"/>
          <w:szCs w:val="24"/>
        </w:rPr>
        <w:lastRenderedPageBreak/>
        <w:t xml:space="preserve">não pode, no particular, ser aplicado. </w:t>
      </w:r>
      <w:r w:rsidRPr="00032412">
        <w:rPr>
          <w:rFonts w:ascii="Verdana" w:hAnsi="Verdana"/>
          <w:b/>
          <w:i/>
          <w:iCs/>
          <w:sz w:val="24"/>
          <w:szCs w:val="24"/>
          <w:u w:val="single"/>
        </w:rPr>
        <w:t>Porque ele impõe uma restrição à imunidade, a qual não se confunde com isenção; uma restrição que não está no texto constitucional". Isso significava dizer o que? Dizer: "Nem lei complementar, nem lei nenhuma, pode impor uma restrição a uma imunidade que decorre da Constituição</w:t>
      </w:r>
      <w:r w:rsidRPr="00032412">
        <w:rPr>
          <w:rFonts w:ascii="Verdana" w:hAnsi="Verdana"/>
          <w:i/>
          <w:iCs/>
          <w:sz w:val="24"/>
          <w:szCs w:val="24"/>
        </w:rPr>
        <w:t xml:space="preserve">". </w:t>
      </w:r>
    </w:p>
    <w:p w:rsidR="00032412" w:rsidRPr="00032412" w:rsidRDefault="00032412" w:rsidP="00032412">
      <w:pPr>
        <w:spacing w:after="0" w:line="240" w:lineRule="auto"/>
        <w:ind w:left="1134"/>
        <w:jc w:val="both"/>
        <w:rPr>
          <w:rFonts w:ascii="Verdana" w:hAnsi="Verdana"/>
          <w:sz w:val="24"/>
          <w:szCs w:val="24"/>
        </w:rPr>
      </w:pPr>
      <w:r w:rsidRPr="00032412">
        <w:rPr>
          <w:rFonts w:ascii="Verdana" w:hAnsi="Verdana"/>
          <w:i/>
          <w:iCs/>
          <w:sz w:val="24"/>
          <w:szCs w:val="24"/>
        </w:rPr>
        <w:t xml:space="preserve">E, a meu ver, está absolutamente correto. Porque não é possível se admitir que uma lei complementar, </w:t>
      </w:r>
      <w:r w:rsidRPr="00032412">
        <w:rPr>
          <w:rFonts w:ascii="Verdana" w:hAnsi="Verdana"/>
          <w:b/>
          <w:i/>
          <w:iCs/>
          <w:sz w:val="24"/>
          <w:szCs w:val="24"/>
          <w:u w:val="single"/>
        </w:rPr>
        <w:t>ainda que a Constituição diga que ela pode regular limitações à competência tributária, possa aumentar restrições a essa competência. Ela pode é regulamentar</w:t>
      </w:r>
      <w:r w:rsidRPr="00032412">
        <w:rPr>
          <w:rFonts w:ascii="Verdana" w:hAnsi="Verdana"/>
          <w:i/>
          <w:iCs/>
          <w:sz w:val="24"/>
          <w:szCs w:val="24"/>
        </w:rPr>
        <w:t xml:space="preserve">. -Se é que há o que regulamentar, em matéria de imunidade, no sentido de ampliá-la ou reduzi-la. Porque isso decorre estritamente da Constituição. Quando se diz, por exemplo, "para atender às suas finalidades essenciais", não é a lei que vai dizer quais são as finalidades essenciais. </w:t>
      </w:r>
      <w:r w:rsidRPr="00032412">
        <w:rPr>
          <w:rFonts w:ascii="Verdana" w:hAnsi="Verdana"/>
          <w:b/>
          <w:bCs/>
          <w:i/>
          <w:iCs/>
          <w:sz w:val="24"/>
          <w:szCs w:val="24"/>
          <w:u w:val="single"/>
        </w:rPr>
        <w:t>Quem vai dizer quais são as finalidades essenciais é a interpretação da própria Constituição. Porque Constituição não se interpreta por lei infraconstitucional, mas a lei infraconstitucional é que se interpreta pela Constituição</w:t>
      </w:r>
      <w:r w:rsidRPr="00032412">
        <w:rPr>
          <w:rFonts w:ascii="Verdana" w:hAnsi="Verdana"/>
          <w:i/>
          <w:iCs/>
          <w:sz w:val="24"/>
          <w:szCs w:val="24"/>
        </w:rPr>
        <w:t xml:space="preserve">. De modo que, obviamente, tanto fazia ser lei complementar, como ser lei ordinária, como ser decreto-lei, enfim, qualquer tipo de norma infraconstitucional. O Ministro Soares </w:t>
      </w:r>
      <w:proofErr w:type="spellStart"/>
      <w:r w:rsidRPr="00032412">
        <w:rPr>
          <w:rFonts w:ascii="Verdana" w:hAnsi="Verdana"/>
          <w:i/>
          <w:iCs/>
          <w:sz w:val="24"/>
          <w:szCs w:val="24"/>
        </w:rPr>
        <w:t>Muñoz</w:t>
      </w:r>
      <w:proofErr w:type="spellEnd"/>
      <w:r w:rsidRPr="00032412">
        <w:rPr>
          <w:rFonts w:ascii="Verdana" w:hAnsi="Verdana"/>
          <w:i/>
          <w:iCs/>
          <w:sz w:val="24"/>
          <w:szCs w:val="24"/>
        </w:rPr>
        <w:t xml:space="preserve"> não estava dizendo: "</w:t>
      </w:r>
      <w:r w:rsidRPr="00032412">
        <w:rPr>
          <w:rFonts w:ascii="Verdana" w:hAnsi="Verdana"/>
          <w:b/>
          <w:bCs/>
          <w:i/>
          <w:iCs/>
          <w:sz w:val="24"/>
          <w:szCs w:val="24"/>
          <w:u w:val="single"/>
        </w:rPr>
        <w:t>Não. Não pode, porque não é lei complementar</w:t>
      </w:r>
      <w:r w:rsidRPr="00032412">
        <w:rPr>
          <w:rFonts w:ascii="Verdana" w:hAnsi="Verdana"/>
          <w:i/>
          <w:iCs/>
          <w:sz w:val="24"/>
          <w:szCs w:val="24"/>
        </w:rPr>
        <w:t>". Mas dizia: "</w:t>
      </w:r>
      <w:r w:rsidRPr="00032412">
        <w:rPr>
          <w:rFonts w:ascii="Verdana" w:hAnsi="Verdana"/>
          <w:b/>
          <w:bCs/>
          <w:i/>
          <w:iCs/>
          <w:sz w:val="24"/>
          <w:szCs w:val="24"/>
          <w:u w:val="single"/>
        </w:rPr>
        <w:t>Esse decreto-lei impõe uma restrição que não está no texto constitucional</w:t>
      </w:r>
      <w:r w:rsidRPr="00032412">
        <w:rPr>
          <w:rFonts w:ascii="Verdana" w:hAnsi="Verdana"/>
          <w:i/>
          <w:iCs/>
          <w:sz w:val="24"/>
          <w:szCs w:val="24"/>
        </w:rPr>
        <w:t xml:space="preserve">"  </w:t>
      </w:r>
      <w:r w:rsidRPr="00032412">
        <w:rPr>
          <w:rStyle w:val="Refdenotaderodap"/>
          <w:rFonts w:ascii="Verdana" w:hAnsi="Verdana"/>
          <w:i/>
          <w:iCs/>
          <w:sz w:val="24"/>
          <w:szCs w:val="24"/>
        </w:rPr>
        <w:footnoteReference w:id="14"/>
      </w:r>
      <w:r w:rsidRPr="00032412">
        <w:rPr>
          <w:rFonts w:ascii="Verdana" w:hAnsi="Verdana"/>
          <w:i/>
          <w:iCs/>
          <w:sz w:val="24"/>
          <w:szCs w:val="24"/>
        </w:rPr>
        <w:t>.</w:t>
      </w:r>
    </w:p>
    <w:p w:rsidR="00032412" w:rsidRDefault="00032412" w:rsidP="00032412">
      <w:pPr>
        <w:spacing w:line="360" w:lineRule="auto"/>
        <w:jc w:val="both"/>
        <w:rPr>
          <w:rFonts w:ascii="Bookman" w:hAnsi="Bookman"/>
          <w:sz w:val="28"/>
        </w:rPr>
      </w:pPr>
    </w:p>
    <w:p w:rsidR="00032412" w:rsidRDefault="00356F57" w:rsidP="00032412">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 xml:space="preserve">A Lei Complementar, </w:t>
      </w:r>
      <w:r w:rsidR="00C27569">
        <w:rPr>
          <w:rFonts w:ascii="Verdana" w:hAnsi="Verdana" w:cs="Times New Roman"/>
          <w:sz w:val="24"/>
          <w:szCs w:val="24"/>
        </w:rPr>
        <w:t xml:space="preserve">ao definir os requisitos para gozo da imunidade, </w:t>
      </w:r>
      <w:r>
        <w:rPr>
          <w:rFonts w:ascii="Verdana" w:hAnsi="Verdana" w:cs="Times New Roman"/>
          <w:sz w:val="24"/>
          <w:szCs w:val="24"/>
        </w:rPr>
        <w:t xml:space="preserve"> deve explicitar o que está na Constituição, sendo que os limites da intenção constituinte estão no próprio texto constitucional.</w:t>
      </w:r>
    </w:p>
    <w:p w:rsidR="00356F57" w:rsidRDefault="00356F57" w:rsidP="00032412">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Chegamos, agora, ao ponto nevrálgico do parecer.</w:t>
      </w:r>
    </w:p>
    <w:p w:rsidR="00356F57" w:rsidRDefault="00356F57" w:rsidP="00032412">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Declara o artigo 60,  parágrafo 4º, inciso IV, da Lei Suprema que:</w:t>
      </w:r>
    </w:p>
    <w:p w:rsidR="00356F57" w:rsidRPr="00356F57" w:rsidRDefault="00356F57" w:rsidP="00356F57">
      <w:pPr>
        <w:shd w:val="clear" w:color="auto" w:fill="FFFFFF"/>
        <w:spacing w:after="0" w:line="240" w:lineRule="auto"/>
        <w:ind w:left="1134"/>
        <w:rPr>
          <w:rFonts w:ascii="Verdana" w:eastAsia="Times New Roman" w:hAnsi="Verdana" w:cs="Arial"/>
          <w:i/>
          <w:color w:val="000000"/>
          <w:sz w:val="24"/>
          <w:szCs w:val="24"/>
          <w:lang w:eastAsia="pt-BR"/>
        </w:rPr>
      </w:pPr>
      <w:r>
        <w:rPr>
          <w:rFonts w:ascii="Verdana" w:eastAsia="Times New Roman" w:hAnsi="Verdana" w:cs="Arial"/>
          <w:i/>
          <w:color w:val="000000"/>
          <w:sz w:val="24"/>
          <w:szCs w:val="24"/>
          <w:lang w:eastAsia="pt-BR"/>
        </w:rPr>
        <w:t>“</w:t>
      </w:r>
      <w:r w:rsidRPr="00356F57">
        <w:rPr>
          <w:rFonts w:ascii="Verdana" w:eastAsia="Times New Roman" w:hAnsi="Verdana" w:cs="Arial"/>
          <w:i/>
          <w:color w:val="000000"/>
          <w:sz w:val="24"/>
          <w:szCs w:val="24"/>
          <w:lang w:eastAsia="pt-BR"/>
        </w:rPr>
        <w:t>Art. 60. ...........</w:t>
      </w:r>
    </w:p>
    <w:p w:rsidR="00356F57" w:rsidRPr="00356F57" w:rsidRDefault="00356F57" w:rsidP="00356F57">
      <w:pPr>
        <w:shd w:val="clear" w:color="auto" w:fill="FFFFFF"/>
        <w:spacing w:after="0" w:line="240" w:lineRule="auto"/>
        <w:ind w:left="1134"/>
        <w:rPr>
          <w:rFonts w:ascii="Verdana" w:eastAsia="Times New Roman" w:hAnsi="Verdana" w:cs="Times New Roman"/>
          <w:i/>
          <w:color w:val="000000"/>
          <w:sz w:val="24"/>
          <w:szCs w:val="24"/>
          <w:lang w:eastAsia="pt-BR"/>
        </w:rPr>
      </w:pPr>
      <w:r w:rsidRPr="00356F57">
        <w:rPr>
          <w:rFonts w:ascii="Verdana" w:eastAsia="Times New Roman" w:hAnsi="Verdana" w:cs="Arial"/>
          <w:i/>
          <w:color w:val="000000"/>
          <w:sz w:val="24"/>
          <w:szCs w:val="24"/>
          <w:lang w:eastAsia="pt-BR"/>
        </w:rPr>
        <w:t>§ 4º Não será objeto de deliberação a proposta de emenda tendente a abolir:</w:t>
      </w:r>
    </w:p>
    <w:p w:rsidR="00356F57" w:rsidRPr="00356F57" w:rsidRDefault="00356F57" w:rsidP="00356F57">
      <w:pPr>
        <w:shd w:val="clear" w:color="auto" w:fill="FFFFFF"/>
        <w:spacing w:after="0" w:line="240" w:lineRule="auto"/>
        <w:ind w:left="1134"/>
        <w:rPr>
          <w:rFonts w:ascii="Verdana" w:eastAsia="Times New Roman" w:hAnsi="Verdana" w:cs="Arial"/>
          <w:i/>
          <w:color w:val="000000"/>
          <w:sz w:val="24"/>
          <w:szCs w:val="24"/>
          <w:lang w:eastAsia="pt-BR"/>
        </w:rPr>
      </w:pPr>
      <w:r w:rsidRPr="00356F57">
        <w:rPr>
          <w:rFonts w:ascii="Verdana" w:eastAsia="Times New Roman" w:hAnsi="Verdana" w:cs="Arial"/>
          <w:i/>
          <w:color w:val="000000"/>
          <w:sz w:val="24"/>
          <w:szCs w:val="24"/>
          <w:lang w:eastAsia="pt-BR"/>
        </w:rPr>
        <w:t>...........</w:t>
      </w:r>
    </w:p>
    <w:p w:rsidR="00356F57" w:rsidRPr="00356F57" w:rsidRDefault="00356F57" w:rsidP="00356F57">
      <w:pPr>
        <w:shd w:val="clear" w:color="auto" w:fill="FFFFFF"/>
        <w:spacing w:after="0" w:line="240" w:lineRule="auto"/>
        <w:ind w:left="1134"/>
        <w:rPr>
          <w:rFonts w:ascii="Times New Roman" w:eastAsia="Times New Roman" w:hAnsi="Times New Roman" w:cs="Times New Roman"/>
          <w:color w:val="000000"/>
          <w:sz w:val="24"/>
          <w:szCs w:val="24"/>
          <w:lang w:eastAsia="pt-BR"/>
        </w:rPr>
      </w:pPr>
      <w:r w:rsidRPr="00356F57">
        <w:rPr>
          <w:rFonts w:ascii="Verdana" w:eastAsia="Times New Roman" w:hAnsi="Verdana" w:cs="Arial"/>
          <w:i/>
          <w:color w:val="000000"/>
          <w:sz w:val="24"/>
          <w:szCs w:val="24"/>
          <w:lang w:eastAsia="pt-BR"/>
        </w:rPr>
        <w:t>IV - os direitos e garantias individuais”</w:t>
      </w:r>
      <w:r w:rsidRPr="00356F57">
        <w:rPr>
          <w:rFonts w:ascii="Arial" w:eastAsia="Times New Roman" w:hAnsi="Arial" w:cs="Arial"/>
          <w:color w:val="000000"/>
          <w:sz w:val="24"/>
          <w:szCs w:val="24"/>
          <w:lang w:eastAsia="pt-BR"/>
        </w:rPr>
        <w:t>.</w:t>
      </w:r>
    </w:p>
    <w:p w:rsidR="00356F57" w:rsidRDefault="009D375F" w:rsidP="00032412">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Todas as garantias e direitos individuais são cláusulas pétreas. Não podem ser modificadas. Já escrevi a respeito:</w:t>
      </w:r>
    </w:p>
    <w:p w:rsidR="009D375F" w:rsidRPr="0050212D" w:rsidRDefault="009D375F" w:rsidP="009D375F">
      <w:pPr>
        <w:spacing w:after="0" w:line="240" w:lineRule="auto"/>
        <w:ind w:left="1134"/>
        <w:jc w:val="both"/>
        <w:rPr>
          <w:rFonts w:ascii="Verdana" w:hAnsi="Verdana"/>
          <w:i/>
          <w:iCs/>
          <w:sz w:val="24"/>
          <w:szCs w:val="24"/>
        </w:rPr>
      </w:pPr>
      <w:r w:rsidRPr="0050212D">
        <w:rPr>
          <w:rFonts w:ascii="Verdana" w:hAnsi="Verdana"/>
          <w:i/>
          <w:iCs/>
          <w:sz w:val="24"/>
          <w:szCs w:val="24"/>
        </w:rPr>
        <w:t xml:space="preserve">“Os direitos e garantias individuais conformam uma norma pétrea. Não são eles apenas os que estão no artigo 5º, mas, como determina o § 2º do mesmo artigo, incluem outros que se espalham pelo texto constitucional e outros que decorrem de uma </w:t>
      </w:r>
      <w:proofErr w:type="spellStart"/>
      <w:r w:rsidRPr="0050212D">
        <w:rPr>
          <w:rFonts w:ascii="Verdana" w:hAnsi="Verdana"/>
          <w:i/>
          <w:iCs/>
          <w:sz w:val="24"/>
          <w:szCs w:val="24"/>
        </w:rPr>
        <w:t>implicitude</w:t>
      </w:r>
      <w:proofErr w:type="spellEnd"/>
      <w:r w:rsidRPr="0050212D">
        <w:rPr>
          <w:rFonts w:ascii="Verdana" w:hAnsi="Verdana"/>
          <w:i/>
          <w:iCs/>
          <w:sz w:val="24"/>
          <w:szCs w:val="24"/>
        </w:rPr>
        <w:t xml:space="preserve"> inequívoca. Trata-se, portanto, de um elenco cuja extensão não se encontra em textos constitucionais anteriores.</w:t>
      </w:r>
    </w:p>
    <w:p w:rsidR="009D375F" w:rsidRPr="0050212D" w:rsidRDefault="009D375F" w:rsidP="009D375F">
      <w:pPr>
        <w:spacing w:after="0" w:line="240" w:lineRule="auto"/>
        <w:ind w:left="1134"/>
        <w:jc w:val="both"/>
        <w:rPr>
          <w:rFonts w:ascii="Verdana" w:hAnsi="Verdana"/>
          <w:i/>
          <w:iCs/>
          <w:sz w:val="24"/>
          <w:szCs w:val="24"/>
        </w:rPr>
      </w:pPr>
      <w:r w:rsidRPr="0050212D">
        <w:rPr>
          <w:rFonts w:ascii="Verdana" w:hAnsi="Verdana"/>
          <w:i/>
          <w:iCs/>
          <w:sz w:val="24"/>
          <w:szCs w:val="24"/>
        </w:rPr>
        <w:lastRenderedPageBreak/>
        <w:t>Tem-se discutido se, de rigor, toda a Constituição não seria um feixe de direitos e garantias individuais, na medida em que o próprio Estado deve assegurá-lo e sua preservação, de rigor, é um direito e uma garantia individual. Toda a Constituição não faz senão  garantir  direitos individuais, que decorrem, necessariamente, da existência do poder assecuratório (Judiciário), Legislativo (produção de leis), Executivo (executá-las a favor do cidadão).</w:t>
      </w:r>
    </w:p>
    <w:p w:rsidR="009D375F" w:rsidRPr="0050212D" w:rsidRDefault="009D375F" w:rsidP="009D375F">
      <w:pPr>
        <w:spacing w:after="0" w:line="240" w:lineRule="auto"/>
        <w:ind w:left="1134"/>
        <w:jc w:val="both"/>
        <w:rPr>
          <w:rFonts w:ascii="Verdana" w:hAnsi="Verdana"/>
          <w:i/>
          <w:iCs/>
          <w:sz w:val="24"/>
          <w:szCs w:val="24"/>
        </w:rPr>
      </w:pPr>
      <w:r w:rsidRPr="0050212D">
        <w:rPr>
          <w:rFonts w:ascii="Verdana" w:hAnsi="Verdana"/>
          <w:i/>
          <w:iCs/>
          <w:sz w:val="24"/>
          <w:szCs w:val="24"/>
        </w:rPr>
        <w:t>Por esta teoria, a Constituição seria imodificável, visto que direta ou indiretamente tudo estaria voltado aos direitos e garantias individuais</w:t>
      </w:r>
      <w:r w:rsidRPr="0050212D">
        <w:rPr>
          <w:rStyle w:val="Refdenotaderodap"/>
          <w:rFonts w:ascii="Verdana" w:hAnsi="Verdana"/>
          <w:i/>
          <w:iCs/>
          <w:sz w:val="24"/>
          <w:szCs w:val="24"/>
        </w:rPr>
        <w:t>.</w:t>
      </w:r>
    </w:p>
    <w:p w:rsidR="009D375F" w:rsidRPr="0050212D" w:rsidRDefault="009D375F" w:rsidP="009D375F">
      <w:pPr>
        <w:spacing w:after="0" w:line="240" w:lineRule="auto"/>
        <w:ind w:left="1134"/>
        <w:jc w:val="both"/>
        <w:rPr>
          <w:rFonts w:ascii="Verdana" w:hAnsi="Verdana"/>
          <w:i/>
          <w:iCs/>
          <w:sz w:val="24"/>
          <w:szCs w:val="24"/>
        </w:rPr>
      </w:pPr>
      <w:r w:rsidRPr="0050212D">
        <w:rPr>
          <w:rFonts w:ascii="Verdana" w:hAnsi="Verdana"/>
          <w:i/>
          <w:iCs/>
          <w:sz w:val="24"/>
          <w:szCs w:val="24"/>
        </w:rPr>
        <w:t xml:space="preserve">Tal formulação, todavia, peca pela própria formulação do artigo, visto que se os organismos produtores, executores e assecuratórios do Direito representassem forma indireta de permanência dos direitos e garantias individuais, à evidência, todo o resto do artigo 60 seria desnecessário em face da </w:t>
      </w:r>
      <w:proofErr w:type="spellStart"/>
      <w:r w:rsidRPr="0050212D">
        <w:rPr>
          <w:rFonts w:ascii="Verdana" w:hAnsi="Verdana"/>
          <w:i/>
          <w:iCs/>
          <w:sz w:val="24"/>
          <w:szCs w:val="24"/>
        </w:rPr>
        <w:t>imodificabilidade</w:t>
      </w:r>
      <w:proofErr w:type="spellEnd"/>
      <w:r w:rsidRPr="0050212D">
        <w:rPr>
          <w:rFonts w:ascii="Verdana" w:hAnsi="Verdana"/>
          <w:i/>
          <w:iCs/>
          <w:sz w:val="24"/>
          <w:szCs w:val="24"/>
        </w:rPr>
        <w:t xml:space="preserve"> da lei suprema. O conflito fala por si só para eliminar a procedência dos argumentos dos que assim pensam.</w:t>
      </w:r>
    </w:p>
    <w:p w:rsidR="009D375F" w:rsidRPr="0050212D" w:rsidRDefault="009D375F" w:rsidP="009D375F">
      <w:pPr>
        <w:spacing w:after="0" w:line="240" w:lineRule="auto"/>
        <w:ind w:left="1134"/>
        <w:jc w:val="both"/>
        <w:rPr>
          <w:rFonts w:ascii="Verdana" w:hAnsi="Verdana"/>
          <w:i/>
          <w:iCs/>
          <w:sz w:val="24"/>
          <w:szCs w:val="24"/>
        </w:rPr>
      </w:pPr>
      <w:r w:rsidRPr="0050212D">
        <w:rPr>
          <w:rFonts w:ascii="Verdana" w:hAnsi="Verdana"/>
          <w:i/>
          <w:iCs/>
          <w:sz w:val="24"/>
          <w:szCs w:val="24"/>
        </w:rPr>
        <w:t xml:space="preserve">Em posição diversa, entendo que os direitos e garantias individuais são aqueles direitos fundamentais plasmados no texto constitucional --e apenas nele-- afastando-se, de um lado, da </w:t>
      </w:r>
      <w:proofErr w:type="spellStart"/>
      <w:r w:rsidRPr="0050212D">
        <w:rPr>
          <w:rFonts w:ascii="Verdana" w:hAnsi="Verdana"/>
          <w:i/>
          <w:iCs/>
          <w:sz w:val="24"/>
          <w:szCs w:val="24"/>
        </w:rPr>
        <w:t>implicitude</w:t>
      </w:r>
      <w:proofErr w:type="spellEnd"/>
      <w:r w:rsidRPr="0050212D">
        <w:rPr>
          <w:rFonts w:ascii="Verdana" w:hAnsi="Verdana"/>
          <w:i/>
          <w:iCs/>
          <w:sz w:val="24"/>
          <w:szCs w:val="24"/>
        </w:rPr>
        <w:t xml:space="preserve"> dos direitos não expressos ou de veiculação infraconstitucional, assim como restringindo, por outro lado, aqueles direitos que são assim considerados pelo próprio texto e exclusivamente por ele.</w:t>
      </w:r>
    </w:p>
    <w:p w:rsidR="009D375F" w:rsidRPr="0050212D" w:rsidRDefault="009D375F" w:rsidP="009D375F">
      <w:pPr>
        <w:spacing w:after="0" w:line="240" w:lineRule="auto"/>
        <w:ind w:left="1134"/>
        <w:jc w:val="both"/>
        <w:rPr>
          <w:rFonts w:ascii="Verdana" w:hAnsi="Verdana"/>
          <w:i/>
          <w:iCs/>
          <w:sz w:val="24"/>
          <w:szCs w:val="24"/>
        </w:rPr>
      </w:pPr>
      <w:r w:rsidRPr="0050212D">
        <w:rPr>
          <w:rFonts w:ascii="Verdana" w:hAnsi="Verdana"/>
          <w:i/>
          <w:iCs/>
          <w:sz w:val="24"/>
          <w:szCs w:val="24"/>
        </w:rPr>
        <w:t>Assim sendo, o artigo 150 faz expressa menção a direitos e garantias individuais, como tais conformados no capítulo do sistema tributário. Tal conformação, à evidência, oferta, por este prisma, a certeza de que está ela no elenco complementar do artigo 150 e, por outro, que é tido pelo constituinte como fundamental.</w:t>
      </w:r>
    </w:p>
    <w:p w:rsidR="009D375F" w:rsidRPr="0050212D" w:rsidRDefault="009D375F" w:rsidP="009D375F">
      <w:pPr>
        <w:spacing w:after="0" w:line="240" w:lineRule="auto"/>
        <w:ind w:left="1134"/>
        <w:jc w:val="both"/>
        <w:rPr>
          <w:rFonts w:ascii="Verdana" w:hAnsi="Verdana"/>
          <w:i/>
          <w:iCs/>
          <w:sz w:val="24"/>
          <w:szCs w:val="24"/>
        </w:rPr>
      </w:pPr>
      <w:r w:rsidRPr="0050212D">
        <w:rPr>
          <w:rFonts w:ascii="Verdana" w:hAnsi="Verdana"/>
          <w:i/>
          <w:iCs/>
          <w:sz w:val="24"/>
          <w:szCs w:val="24"/>
        </w:rPr>
        <w:t xml:space="preserve">Por tal perfil, apenas os direitos e garantias individuais expressamente expostos no artigo da Constituição, seriam cláusulas pétreas” </w:t>
      </w:r>
      <w:r w:rsidRPr="0050212D">
        <w:rPr>
          <w:rStyle w:val="Refdenotaderodap"/>
          <w:rFonts w:ascii="Verdana" w:hAnsi="Verdana"/>
          <w:i/>
          <w:iCs/>
          <w:sz w:val="24"/>
          <w:szCs w:val="24"/>
        </w:rPr>
        <w:footnoteReference w:id="15"/>
      </w:r>
      <w:r w:rsidRPr="0050212D">
        <w:rPr>
          <w:rFonts w:ascii="Verdana" w:hAnsi="Verdana"/>
          <w:i/>
          <w:iCs/>
          <w:sz w:val="24"/>
          <w:szCs w:val="24"/>
        </w:rPr>
        <w:t>.</w:t>
      </w:r>
    </w:p>
    <w:p w:rsidR="009D375F" w:rsidRDefault="009D375F" w:rsidP="009D375F">
      <w:pPr>
        <w:jc w:val="both"/>
        <w:rPr>
          <w:rFonts w:ascii="Verdana" w:hAnsi="Verdana"/>
          <w:iCs/>
        </w:rPr>
      </w:pPr>
    </w:p>
    <w:p w:rsidR="009D375F" w:rsidRDefault="00951D4E" w:rsidP="00032412">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 xml:space="preserve">Ora, </w:t>
      </w:r>
      <w:r w:rsidR="009D375F">
        <w:rPr>
          <w:rFonts w:ascii="Verdana" w:hAnsi="Verdana" w:cs="Times New Roman"/>
          <w:sz w:val="24"/>
          <w:szCs w:val="24"/>
        </w:rPr>
        <w:t>os direitos dos contribuintes</w:t>
      </w:r>
      <w:r w:rsidR="00DC2233">
        <w:rPr>
          <w:rFonts w:ascii="Verdana" w:hAnsi="Verdana" w:cs="Times New Roman"/>
          <w:sz w:val="24"/>
          <w:szCs w:val="24"/>
        </w:rPr>
        <w:t xml:space="preserve"> mencionado</w:t>
      </w:r>
      <w:r>
        <w:rPr>
          <w:rFonts w:ascii="Verdana" w:hAnsi="Verdana" w:cs="Times New Roman"/>
          <w:sz w:val="24"/>
          <w:szCs w:val="24"/>
        </w:rPr>
        <w:t>s neste parecer</w:t>
      </w:r>
      <w:r w:rsidR="009D375F">
        <w:rPr>
          <w:rFonts w:ascii="Verdana" w:hAnsi="Verdana" w:cs="Times New Roman"/>
          <w:sz w:val="24"/>
          <w:szCs w:val="24"/>
        </w:rPr>
        <w:t xml:space="preserve"> merece</w:t>
      </w:r>
      <w:r w:rsidR="00DC2233">
        <w:rPr>
          <w:rFonts w:ascii="Verdana" w:hAnsi="Verdana" w:cs="Times New Roman"/>
          <w:sz w:val="24"/>
          <w:szCs w:val="24"/>
        </w:rPr>
        <w:t>ra</w:t>
      </w:r>
      <w:r w:rsidR="009D375F">
        <w:rPr>
          <w:rFonts w:ascii="Verdana" w:hAnsi="Verdana" w:cs="Times New Roman"/>
          <w:sz w:val="24"/>
          <w:szCs w:val="24"/>
        </w:rPr>
        <w:t>m do constituinte as garantias do artigo 150, nelas incluídas as imunidades constitucionais</w:t>
      </w:r>
      <w:r w:rsidR="00DC2233">
        <w:rPr>
          <w:rFonts w:ascii="Verdana" w:hAnsi="Verdana" w:cs="Times New Roman"/>
          <w:sz w:val="24"/>
          <w:szCs w:val="24"/>
        </w:rPr>
        <w:t xml:space="preserve"> (inciso VI, letra “c” e 195, § 7º)</w:t>
      </w:r>
      <w:r w:rsidR="009D375F">
        <w:rPr>
          <w:rFonts w:ascii="Verdana" w:hAnsi="Verdana" w:cs="Times New Roman"/>
          <w:sz w:val="24"/>
          <w:szCs w:val="24"/>
        </w:rPr>
        <w:t>,</w:t>
      </w:r>
      <w:r>
        <w:rPr>
          <w:rFonts w:ascii="Verdana" w:hAnsi="Verdana" w:cs="Times New Roman"/>
          <w:sz w:val="24"/>
          <w:szCs w:val="24"/>
        </w:rPr>
        <w:t xml:space="preserve"> o que vale dizer que</w:t>
      </w:r>
      <w:r w:rsidR="00C27569">
        <w:rPr>
          <w:rFonts w:ascii="Verdana" w:hAnsi="Verdana" w:cs="Times New Roman"/>
          <w:sz w:val="24"/>
          <w:szCs w:val="24"/>
        </w:rPr>
        <w:t>,</w:t>
      </w:r>
      <w:r>
        <w:rPr>
          <w:rFonts w:ascii="Verdana" w:hAnsi="Verdana" w:cs="Times New Roman"/>
          <w:sz w:val="24"/>
          <w:szCs w:val="24"/>
        </w:rPr>
        <w:t xml:space="preserve"> quanto a</w:t>
      </w:r>
      <w:r w:rsidR="009D375F">
        <w:rPr>
          <w:rFonts w:ascii="Verdana" w:hAnsi="Verdana" w:cs="Times New Roman"/>
          <w:sz w:val="24"/>
          <w:szCs w:val="24"/>
        </w:rPr>
        <w:t xml:space="preserve"> tais </w:t>
      </w:r>
      <w:r>
        <w:rPr>
          <w:rFonts w:ascii="Verdana" w:hAnsi="Verdana" w:cs="Times New Roman"/>
          <w:sz w:val="24"/>
          <w:szCs w:val="24"/>
        </w:rPr>
        <w:t>contribuintes</w:t>
      </w:r>
      <w:r w:rsidR="009E0F01">
        <w:rPr>
          <w:rFonts w:ascii="Verdana" w:hAnsi="Verdana" w:cs="Times New Roman"/>
          <w:sz w:val="24"/>
          <w:szCs w:val="24"/>
        </w:rPr>
        <w:t>,</w:t>
      </w:r>
      <w:r>
        <w:rPr>
          <w:rFonts w:ascii="Verdana" w:hAnsi="Verdana" w:cs="Times New Roman"/>
          <w:sz w:val="24"/>
          <w:szCs w:val="24"/>
        </w:rPr>
        <w:t xml:space="preserve"> </w:t>
      </w:r>
      <w:r w:rsidR="009D375F">
        <w:rPr>
          <w:rFonts w:ascii="Verdana" w:hAnsi="Verdana" w:cs="Times New Roman"/>
          <w:sz w:val="24"/>
          <w:szCs w:val="24"/>
        </w:rPr>
        <w:t>não pode haver qualquer emenda constitucional tendente a abo</w:t>
      </w:r>
      <w:r>
        <w:rPr>
          <w:rFonts w:ascii="Verdana" w:hAnsi="Verdana" w:cs="Times New Roman"/>
          <w:sz w:val="24"/>
          <w:szCs w:val="24"/>
        </w:rPr>
        <w:t>lir tais garantias</w:t>
      </w:r>
      <w:r w:rsidR="00946675">
        <w:rPr>
          <w:rFonts w:ascii="Verdana" w:hAnsi="Verdana" w:cs="Times New Roman"/>
          <w:sz w:val="24"/>
          <w:szCs w:val="24"/>
        </w:rPr>
        <w:t>, se</w:t>
      </w:r>
      <w:r>
        <w:rPr>
          <w:rFonts w:ascii="Verdana" w:hAnsi="Verdana" w:cs="Times New Roman"/>
          <w:sz w:val="24"/>
          <w:szCs w:val="24"/>
        </w:rPr>
        <w:t>ndo,</w:t>
      </w:r>
      <w:r w:rsidR="00946675">
        <w:rPr>
          <w:rFonts w:ascii="Verdana" w:hAnsi="Verdana" w:cs="Times New Roman"/>
          <w:sz w:val="24"/>
          <w:szCs w:val="24"/>
        </w:rPr>
        <w:t xml:space="preserve"> portanto, cláusulas imodificáveis, pétreas, inalter</w:t>
      </w:r>
      <w:r>
        <w:rPr>
          <w:rFonts w:ascii="Verdana" w:hAnsi="Verdana" w:cs="Times New Roman"/>
          <w:sz w:val="24"/>
          <w:szCs w:val="24"/>
        </w:rPr>
        <w:t xml:space="preserve">áveis. Só pode </w:t>
      </w:r>
      <w:r w:rsidR="00946675">
        <w:rPr>
          <w:rFonts w:ascii="Verdana" w:hAnsi="Verdana" w:cs="Times New Roman"/>
          <w:sz w:val="24"/>
          <w:szCs w:val="24"/>
        </w:rPr>
        <w:t>haver</w:t>
      </w:r>
      <w:r w:rsidR="00C27569">
        <w:rPr>
          <w:rFonts w:ascii="Verdana" w:hAnsi="Verdana" w:cs="Times New Roman"/>
          <w:sz w:val="24"/>
          <w:szCs w:val="24"/>
        </w:rPr>
        <w:t>,</w:t>
      </w:r>
      <w:r>
        <w:rPr>
          <w:rFonts w:ascii="Verdana" w:hAnsi="Verdana" w:cs="Times New Roman"/>
          <w:sz w:val="24"/>
          <w:szCs w:val="24"/>
        </w:rPr>
        <w:t xml:space="preserve"> por emenda constitucional, </w:t>
      </w:r>
      <w:r w:rsidR="00A31E5B">
        <w:rPr>
          <w:rFonts w:ascii="Verdana" w:hAnsi="Verdana" w:cs="Times New Roman"/>
          <w:sz w:val="24"/>
          <w:szCs w:val="24"/>
        </w:rPr>
        <w:t xml:space="preserve">imposição </w:t>
      </w:r>
      <w:r w:rsidR="00382CE6">
        <w:rPr>
          <w:rFonts w:ascii="Verdana" w:hAnsi="Verdana" w:cs="Times New Roman"/>
          <w:sz w:val="24"/>
          <w:szCs w:val="24"/>
        </w:rPr>
        <w:t xml:space="preserve">sobre </w:t>
      </w:r>
      <w:r>
        <w:rPr>
          <w:rFonts w:ascii="Verdana" w:hAnsi="Verdana" w:cs="Times New Roman"/>
          <w:sz w:val="24"/>
          <w:szCs w:val="24"/>
        </w:rPr>
        <w:t xml:space="preserve">outras espécies tributárias </w:t>
      </w:r>
      <w:r w:rsidR="00C27569">
        <w:rPr>
          <w:rFonts w:ascii="Verdana" w:hAnsi="Verdana" w:cs="Times New Roman"/>
          <w:sz w:val="24"/>
          <w:szCs w:val="24"/>
        </w:rPr>
        <w:t xml:space="preserve">diferentes daquelas </w:t>
      </w:r>
      <w:r>
        <w:rPr>
          <w:rFonts w:ascii="Verdana" w:hAnsi="Verdana" w:cs="Times New Roman"/>
          <w:sz w:val="24"/>
          <w:szCs w:val="24"/>
        </w:rPr>
        <w:t>referidas neste parecer,</w:t>
      </w:r>
      <w:r w:rsidR="00946675">
        <w:rPr>
          <w:rFonts w:ascii="Verdana" w:hAnsi="Verdana" w:cs="Times New Roman"/>
          <w:sz w:val="24"/>
          <w:szCs w:val="24"/>
        </w:rPr>
        <w:t xml:space="preserve"> mas</w:t>
      </w:r>
      <w:r w:rsidR="00382CE6">
        <w:rPr>
          <w:rFonts w:ascii="Verdana" w:hAnsi="Verdana" w:cs="Times New Roman"/>
          <w:sz w:val="24"/>
          <w:szCs w:val="24"/>
        </w:rPr>
        <w:t xml:space="preserve"> jamais sobre</w:t>
      </w:r>
      <w:r w:rsidR="00946675">
        <w:rPr>
          <w:rFonts w:ascii="Verdana" w:hAnsi="Verdana" w:cs="Times New Roman"/>
          <w:sz w:val="24"/>
          <w:szCs w:val="24"/>
        </w:rPr>
        <w:t xml:space="preserve"> impostos ou contribuições sociais.</w:t>
      </w:r>
    </w:p>
    <w:p w:rsidR="00946675" w:rsidRDefault="00946675" w:rsidP="00032412">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É de se lembrar que, embora as imunidades protejam as instituições de educação</w:t>
      </w:r>
      <w:r w:rsidR="00C27569">
        <w:rPr>
          <w:rFonts w:ascii="Verdana" w:hAnsi="Verdana" w:cs="Times New Roman"/>
          <w:sz w:val="24"/>
          <w:szCs w:val="24"/>
        </w:rPr>
        <w:t>, de saúde</w:t>
      </w:r>
      <w:r>
        <w:rPr>
          <w:rFonts w:ascii="Verdana" w:hAnsi="Verdana" w:cs="Times New Roman"/>
          <w:sz w:val="24"/>
          <w:szCs w:val="24"/>
        </w:rPr>
        <w:t xml:space="preserve"> e de </w:t>
      </w:r>
      <w:r w:rsidR="00C27569">
        <w:rPr>
          <w:rFonts w:ascii="Verdana" w:hAnsi="Verdana" w:cs="Times New Roman"/>
          <w:sz w:val="24"/>
          <w:szCs w:val="24"/>
        </w:rPr>
        <w:t xml:space="preserve">assistência social </w:t>
      </w:r>
      <w:r>
        <w:rPr>
          <w:rFonts w:ascii="Verdana" w:hAnsi="Verdana" w:cs="Times New Roman"/>
          <w:sz w:val="24"/>
          <w:szCs w:val="24"/>
        </w:rPr>
        <w:t>sem fins lucrativos, de rigor, os direitos mai</w:t>
      </w:r>
      <w:r w:rsidR="00C27569">
        <w:rPr>
          <w:rFonts w:ascii="Verdana" w:hAnsi="Verdana" w:cs="Times New Roman"/>
          <w:sz w:val="24"/>
          <w:szCs w:val="24"/>
        </w:rPr>
        <w:t xml:space="preserve">s protegidos </w:t>
      </w:r>
      <w:r>
        <w:rPr>
          <w:rFonts w:ascii="Verdana" w:hAnsi="Verdana" w:cs="Times New Roman"/>
          <w:sz w:val="24"/>
          <w:szCs w:val="24"/>
        </w:rPr>
        <w:t xml:space="preserve">são os </w:t>
      </w:r>
      <w:r w:rsidR="00C27569">
        <w:rPr>
          <w:rFonts w:ascii="Verdana" w:hAnsi="Verdana" w:cs="Times New Roman"/>
          <w:sz w:val="24"/>
          <w:szCs w:val="24"/>
        </w:rPr>
        <w:t xml:space="preserve">dos </w:t>
      </w:r>
      <w:r>
        <w:rPr>
          <w:rFonts w:ascii="Verdana" w:hAnsi="Verdana" w:cs="Times New Roman"/>
          <w:sz w:val="24"/>
          <w:szCs w:val="24"/>
        </w:rPr>
        <w:t>beneficiários de tais instituições</w:t>
      </w:r>
      <w:r w:rsidR="00C27569">
        <w:rPr>
          <w:rFonts w:ascii="Verdana" w:hAnsi="Verdana" w:cs="Times New Roman"/>
          <w:sz w:val="24"/>
          <w:szCs w:val="24"/>
        </w:rPr>
        <w:t>,</w:t>
      </w:r>
      <w:r>
        <w:rPr>
          <w:rFonts w:ascii="Verdana" w:hAnsi="Verdana" w:cs="Times New Roman"/>
          <w:sz w:val="24"/>
          <w:szCs w:val="24"/>
        </w:rPr>
        <w:t xml:space="preserve"> ou seja</w:t>
      </w:r>
      <w:r w:rsidR="00C27569">
        <w:rPr>
          <w:rFonts w:ascii="Verdana" w:hAnsi="Verdana" w:cs="Times New Roman"/>
          <w:sz w:val="24"/>
          <w:szCs w:val="24"/>
        </w:rPr>
        <w:t>,</w:t>
      </w:r>
      <w:r>
        <w:rPr>
          <w:rFonts w:ascii="Verdana" w:hAnsi="Verdana" w:cs="Times New Roman"/>
          <w:sz w:val="24"/>
          <w:szCs w:val="24"/>
        </w:rPr>
        <w:t xml:space="preserve"> estudantes</w:t>
      </w:r>
      <w:r w:rsidR="00C27569">
        <w:rPr>
          <w:rFonts w:ascii="Verdana" w:hAnsi="Verdana" w:cs="Times New Roman"/>
          <w:sz w:val="24"/>
          <w:szCs w:val="24"/>
        </w:rPr>
        <w:t xml:space="preserve">, hipossuficientes </w:t>
      </w:r>
      <w:r>
        <w:rPr>
          <w:rFonts w:ascii="Verdana" w:hAnsi="Verdana" w:cs="Times New Roman"/>
          <w:sz w:val="24"/>
          <w:szCs w:val="24"/>
        </w:rPr>
        <w:t xml:space="preserve">e pacientes </w:t>
      </w:r>
      <w:r w:rsidR="00C27569">
        <w:rPr>
          <w:rFonts w:ascii="Verdana" w:hAnsi="Verdana" w:cs="Times New Roman"/>
          <w:sz w:val="24"/>
          <w:szCs w:val="24"/>
        </w:rPr>
        <w:t xml:space="preserve">que sofrem </w:t>
      </w:r>
      <w:r>
        <w:rPr>
          <w:rFonts w:ascii="Verdana" w:hAnsi="Verdana" w:cs="Times New Roman"/>
          <w:sz w:val="24"/>
          <w:szCs w:val="24"/>
        </w:rPr>
        <w:t xml:space="preserve">das mais variadas doenças, </w:t>
      </w:r>
      <w:r w:rsidR="00C27569">
        <w:rPr>
          <w:rFonts w:ascii="Verdana" w:hAnsi="Verdana" w:cs="Times New Roman"/>
          <w:sz w:val="24"/>
          <w:szCs w:val="24"/>
        </w:rPr>
        <w:t>os quais</w:t>
      </w:r>
      <w:r>
        <w:rPr>
          <w:rFonts w:ascii="Verdana" w:hAnsi="Verdana" w:cs="Times New Roman"/>
          <w:sz w:val="24"/>
          <w:szCs w:val="24"/>
        </w:rPr>
        <w:t xml:space="preserve">, infelizmente, não podem contar com </w:t>
      </w:r>
      <w:r w:rsidR="00951D4E">
        <w:rPr>
          <w:rFonts w:ascii="Verdana" w:hAnsi="Verdana" w:cs="Times New Roman"/>
          <w:sz w:val="24"/>
          <w:szCs w:val="24"/>
        </w:rPr>
        <w:t>os estabelecimentos de</w:t>
      </w:r>
      <w:r>
        <w:rPr>
          <w:rFonts w:ascii="Verdana" w:hAnsi="Verdana" w:cs="Times New Roman"/>
          <w:sz w:val="24"/>
          <w:szCs w:val="24"/>
        </w:rPr>
        <w:t xml:space="preserve"> saúde pública</w:t>
      </w:r>
      <w:r w:rsidR="00C27569">
        <w:rPr>
          <w:rFonts w:ascii="Verdana" w:hAnsi="Verdana" w:cs="Times New Roman"/>
          <w:sz w:val="24"/>
          <w:szCs w:val="24"/>
        </w:rPr>
        <w:t xml:space="preserve">, notoriamente insuficientes </w:t>
      </w:r>
      <w:r>
        <w:rPr>
          <w:rFonts w:ascii="Verdana" w:hAnsi="Verdana" w:cs="Times New Roman"/>
          <w:sz w:val="24"/>
          <w:szCs w:val="24"/>
        </w:rPr>
        <w:t xml:space="preserve">para atender </w:t>
      </w:r>
      <w:r w:rsidR="00C27569">
        <w:rPr>
          <w:rFonts w:ascii="Verdana" w:hAnsi="Verdana" w:cs="Times New Roman"/>
          <w:sz w:val="24"/>
          <w:szCs w:val="24"/>
        </w:rPr>
        <w:t xml:space="preserve">integralmente </w:t>
      </w:r>
      <w:r w:rsidR="00DC2233">
        <w:rPr>
          <w:rFonts w:ascii="Verdana" w:hAnsi="Verdana" w:cs="Times New Roman"/>
          <w:sz w:val="24"/>
          <w:szCs w:val="24"/>
        </w:rPr>
        <w:t>as</w:t>
      </w:r>
      <w:r>
        <w:rPr>
          <w:rFonts w:ascii="Verdana" w:hAnsi="Verdana" w:cs="Times New Roman"/>
          <w:sz w:val="24"/>
          <w:szCs w:val="24"/>
        </w:rPr>
        <w:t xml:space="preserve"> necessidades </w:t>
      </w:r>
      <w:r w:rsidR="00DC2233">
        <w:rPr>
          <w:rFonts w:ascii="Verdana" w:hAnsi="Verdana" w:cs="Times New Roman"/>
          <w:sz w:val="24"/>
          <w:szCs w:val="24"/>
        </w:rPr>
        <w:t>d</w:t>
      </w:r>
      <w:r w:rsidR="00951D4E">
        <w:rPr>
          <w:rFonts w:ascii="Verdana" w:hAnsi="Verdana" w:cs="Times New Roman"/>
          <w:sz w:val="24"/>
          <w:szCs w:val="24"/>
        </w:rPr>
        <w:t>a</w:t>
      </w:r>
      <w:r>
        <w:rPr>
          <w:rFonts w:ascii="Verdana" w:hAnsi="Verdana" w:cs="Times New Roman"/>
          <w:sz w:val="24"/>
          <w:szCs w:val="24"/>
        </w:rPr>
        <w:t xml:space="preserve"> população brasileira.</w:t>
      </w:r>
    </w:p>
    <w:p w:rsidR="00946675" w:rsidRDefault="00946675" w:rsidP="00032412">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lastRenderedPageBreak/>
        <w:t xml:space="preserve">A meu ver, nenhuma emenda constitucional pode ser proposta objetivando retirar tais </w:t>
      </w:r>
      <w:r w:rsidR="007112EC">
        <w:rPr>
          <w:rFonts w:ascii="Verdana" w:hAnsi="Verdana" w:cs="Times New Roman"/>
          <w:sz w:val="24"/>
          <w:szCs w:val="24"/>
        </w:rPr>
        <w:t>imunidades de tais instituições</w:t>
      </w:r>
      <w:r w:rsidR="00C27569">
        <w:rPr>
          <w:rFonts w:ascii="Verdana" w:hAnsi="Verdana" w:cs="Times New Roman"/>
          <w:sz w:val="24"/>
          <w:szCs w:val="24"/>
        </w:rPr>
        <w:t>,</w:t>
      </w:r>
      <w:r w:rsidR="007112EC">
        <w:rPr>
          <w:rFonts w:ascii="Verdana" w:hAnsi="Verdana" w:cs="Times New Roman"/>
          <w:sz w:val="24"/>
          <w:szCs w:val="24"/>
        </w:rPr>
        <w:t xml:space="preserve"> desde que </w:t>
      </w:r>
      <w:r w:rsidR="00C27569">
        <w:rPr>
          <w:rFonts w:ascii="Verdana" w:hAnsi="Verdana" w:cs="Times New Roman"/>
          <w:sz w:val="24"/>
          <w:szCs w:val="24"/>
        </w:rPr>
        <w:t xml:space="preserve">atuem </w:t>
      </w:r>
      <w:r w:rsidR="007112EC">
        <w:rPr>
          <w:rFonts w:ascii="Verdana" w:hAnsi="Verdana" w:cs="Times New Roman"/>
          <w:sz w:val="24"/>
          <w:szCs w:val="24"/>
        </w:rPr>
        <w:t>sem fins lucrativos,</w:t>
      </w:r>
      <w:r w:rsidR="00C27569">
        <w:rPr>
          <w:rFonts w:ascii="Verdana" w:hAnsi="Verdana" w:cs="Times New Roman"/>
          <w:sz w:val="24"/>
          <w:szCs w:val="24"/>
        </w:rPr>
        <w:t xml:space="preserve"> sejam</w:t>
      </w:r>
      <w:r w:rsidR="00A31E5B">
        <w:rPr>
          <w:rFonts w:ascii="Verdana" w:hAnsi="Verdana" w:cs="Times New Roman"/>
          <w:sz w:val="24"/>
          <w:szCs w:val="24"/>
        </w:rPr>
        <w:t xml:space="preserve"> filantrópicas,</w:t>
      </w:r>
      <w:r w:rsidR="007112EC">
        <w:rPr>
          <w:rFonts w:ascii="Verdana" w:hAnsi="Verdana" w:cs="Times New Roman"/>
          <w:sz w:val="24"/>
          <w:szCs w:val="24"/>
        </w:rPr>
        <w:t xml:space="preserve"> confessionais</w:t>
      </w:r>
      <w:r w:rsidR="00425C3F">
        <w:rPr>
          <w:rFonts w:ascii="Verdana" w:hAnsi="Verdana" w:cs="Times New Roman"/>
          <w:sz w:val="24"/>
          <w:szCs w:val="24"/>
        </w:rPr>
        <w:t xml:space="preserve"> o</w:t>
      </w:r>
      <w:r w:rsidR="00A31E5B">
        <w:rPr>
          <w:rFonts w:ascii="Verdana" w:hAnsi="Verdana" w:cs="Times New Roman"/>
          <w:sz w:val="24"/>
          <w:szCs w:val="24"/>
        </w:rPr>
        <w:t>u comunitárias</w:t>
      </w:r>
      <w:r w:rsidR="00C27569">
        <w:rPr>
          <w:rFonts w:ascii="Verdana" w:hAnsi="Verdana" w:cs="Times New Roman"/>
          <w:sz w:val="24"/>
          <w:szCs w:val="24"/>
        </w:rPr>
        <w:t>. Gozam</w:t>
      </w:r>
      <w:r w:rsidR="00B63EA4">
        <w:rPr>
          <w:rFonts w:ascii="Verdana" w:hAnsi="Verdana" w:cs="Times New Roman"/>
          <w:sz w:val="24"/>
          <w:szCs w:val="24"/>
        </w:rPr>
        <w:t xml:space="preserve"> elas -</w:t>
      </w:r>
      <w:r w:rsidR="00C27569">
        <w:rPr>
          <w:rFonts w:ascii="Verdana" w:hAnsi="Verdana" w:cs="Times New Roman"/>
          <w:sz w:val="24"/>
          <w:szCs w:val="24"/>
        </w:rPr>
        <w:t xml:space="preserve"> </w:t>
      </w:r>
      <w:r w:rsidR="007112EC">
        <w:rPr>
          <w:rFonts w:ascii="Verdana" w:hAnsi="Verdana" w:cs="Times New Roman"/>
          <w:sz w:val="24"/>
          <w:szCs w:val="24"/>
        </w:rPr>
        <w:t>as pessoas que a</w:t>
      </w:r>
      <w:r w:rsidR="00951D4E">
        <w:rPr>
          <w:rFonts w:ascii="Verdana" w:hAnsi="Verdana" w:cs="Times New Roman"/>
          <w:sz w:val="24"/>
          <w:szCs w:val="24"/>
        </w:rPr>
        <w:t>s</w:t>
      </w:r>
      <w:r w:rsidR="007112EC">
        <w:rPr>
          <w:rFonts w:ascii="Verdana" w:hAnsi="Verdana" w:cs="Times New Roman"/>
          <w:sz w:val="24"/>
          <w:szCs w:val="24"/>
        </w:rPr>
        <w:t xml:space="preserve"> dirigem e que não são suas proprietárias</w:t>
      </w:r>
      <w:r w:rsidR="00B63EA4">
        <w:rPr>
          <w:rFonts w:ascii="Verdana" w:hAnsi="Verdana" w:cs="Times New Roman"/>
          <w:sz w:val="24"/>
          <w:szCs w:val="24"/>
        </w:rPr>
        <w:t xml:space="preserve"> -</w:t>
      </w:r>
      <w:r w:rsidR="007112EC">
        <w:rPr>
          <w:rFonts w:ascii="Verdana" w:hAnsi="Verdana" w:cs="Times New Roman"/>
          <w:sz w:val="24"/>
          <w:szCs w:val="24"/>
        </w:rPr>
        <w:t>,</w:t>
      </w:r>
      <w:r w:rsidR="00951D4E">
        <w:rPr>
          <w:rFonts w:ascii="Verdana" w:hAnsi="Verdana" w:cs="Times New Roman"/>
          <w:sz w:val="24"/>
          <w:szCs w:val="24"/>
        </w:rPr>
        <w:t xml:space="preserve"> assim como </w:t>
      </w:r>
      <w:r w:rsidR="00B63EA4">
        <w:rPr>
          <w:rFonts w:ascii="Verdana" w:hAnsi="Verdana" w:cs="Times New Roman"/>
          <w:sz w:val="24"/>
          <w:szCs w:val="24"/>
        </w:rPr>
        <w:t xml:space="preserve">de </w:t>
      </w:r>
      <w:r w:rsidR="00951D4E">
        <w:rPr>
          <w:rFonts w:ascii="Verdana" w:hAnsi="Verdana" w:cs="Times New Roman"/>
          <w:sz w:val="24"/>
          <w:szCs w:val="24"/>
        </w:rPr>
        <w:t>seus estabelecimentos</w:t>
      </w:r>
      <w:r w:rsidR="00DC2233">
        <w:rPr>
          <w:rFonts w:ascii="Verdana" w:hAnsi="Verdana" w:cs="Times New Roman"/>
          <w:sz w:val="24"/>
          <w:szCs w:val="24"/>
        </w:rPr>
        <w:t>,</w:t>
      </w:r>
      <w:r w:rsidR="00951D4E">
        <w:rPr>
          <w:rFonts w:ascii="Verdana" w:hAnsi="Verdana" w:cs="Times New Roman"/>
          <w:sz w:val="24"/>
          <w:szCs w:val="24"/>
        </w:rPr>
        <w:t xml:space="preserve"> de direito imodificável </w:t>
      </w:r>
      <w:r w:rsidR="00B63EA4">
        <w:rPr>
          <w:rFonts w:ascii="Verdana" w:hAnsi="Verdana" w:cs="Times New Roman"/>
          <w:sz w:val="24"/>
          <w:szCs w:val="24"/>
        </w:rPr>
        <w:t xml:space="preserve">quanto </w:t>
      </w:r>
      <w:r w:rsidR="00DC2233">
        <w:rPr>
          <w:rFonts w:ascii="Verdana" w:hAnsi="Verdana" w:cs="Times New Roman"/>
          <w:sz w:val="24"/>
          <w:szCs w:val="24"/>
        </w:rPr>
        <w:t>a tai</w:t>
      </w:r>
      <w:r w:rsidR="00951D4E">
        <w:rPr>
          <w:rFonts w:ascii="Verdana" w:hAnsi="Verdana" w:cs="Times New Roman"/>
          <w:sz w:val="24"/>
          <w:szCs w:val="24"/>
        </w:rPr>
        <w:t xml:space="preserve">s </w:t>
      </w:r>
      <w:r w:rsidR="00DC2233">
        <w:rPr>
          <w:rFonts w:ascii="Verdana" w:hAnsi="Verdana" w:cs="Times New Roman"/>
          <w:sz w:val="24"/>
          <w:szCs w:val="24"/>
        </w:rPr>
        <w:t xml:space="preserve">garantias </w:t>
      </w:r>
      <w:proofErr w:type="spellStart"/>
      <w:r w:rsidR="00DC2233">
        <w:rPr>
          <w:rFonts w:ascii="Verdana" w:hAnsi="Verdana" w:cs="Times New Roman"/>
          <w:sz w:val="24"/>
          <w:szCs w:val="24"/>
        </w:rPr>
        <w:t>vedatórias</w:t>
      </w:r>
      <w:proofErr w:type="spellEnd"/>
      <w:r w:rsidR="00DC2233">
        <w:rPr>
          <w:rFonts w:ascii="Verdana" w:hAnsi="Verdana" w:cs="Times New Roman"/>
          <w:sz w:val="24"/>
          <w:szCs w:val="24"/>
        </w:rPr>
        <w:t xml:space="preserve"> </w:t>
      </w:r>
      <w:r w:rsidR="00B63EA4">
        <w:rPr>
          <w:rFonts w:ascii="Verdana" w:hAnsi="Verdana" w:cs="Times New Roman"/>
          <w:sz w:val="24"/>
          <w:szCs w:val="24"/>
        </w:rPr>
        <w:t>da</w:t>
      </w:r>
      <w:r w:rsidR="00DC2233">
        <w:rPr>
          <w:rFonts w:ascii="Verdana" w:hAnsi="Verdana" w:cs="Times New Roman"/>
          <w:sz w:val="24"/>
          <w:szCs w:val="24"/>
        </w:rPr>
        <w:t xml:space="preserve"> </w:t>
      </w:r>
      <w:r w:rsidR="00951D4E">
        <w:rPr>
          <w:rFonts w:ascii="Verdana" w:hAnsi="Verdana" w:cs="Times New Roman"/>
          <w:sz w:val="24"/>
          <w:szCs w:val="24"/>
        </w:rPr>
        <w:t>im</w:t>
      </w:r>
      <w:r w:rsidR="00DC2233">
        <w:rPr>
          <w:rFonts w:ascii="Verdana" w:hAnsi="Verdana" w:cs="Times New Roman"/>
          <w:sz w:val="24"/>
          <w:szCs w:val="24"/>
        </w:rPr>
        <w:t>posição</w:t>
      </w:r>
      <w:r w:rsidR="00951D4E">
        <w:rPr>
          <w:rFonts w:ascii="Verdana" w:hAnsi="Verdana" w:cs="Times New Roman"/>
          <w:sz w:val="24"/>
          <w:szCs w:val="24"/>
        </w:rPr>
        <w:t>. Tanto é assim que</w:t>
      </w:r>
      <w:r w:rsidR="00B63EA4">
        <w:rPr>
          <w:rFonts w:ascii="Verdana" w:hAnsi="Verdana" w:cs="Times New Roman"/>
          <w:sz w:val="24"/>
          <w:szCs w:val="24"/>
        </w:rPr>
        <w:t>,</w:t>
      </w:r>
      <w:r w:rsidR="00951D4E">
        <w:rPr>
          <w:rFonts w:ascii="Verdana" w:hAnsi="Verdana" w:cs="Times New Roman"/>
          <w:sz w:val="24"/>
          <w:szCs w:val="24"/>
        </w:rPr>
        <w:t xml:space="preserve"> quando</w:t>
      </w:r>
      <w:r w:rsidR="007112EC">
        <w:rPr>
          <w:rFonts w:ascii="Verdana" w:hAnsi="Verdana" w:cs="Times New Roman"/>
          <w:sz w:val="24"/>
          <w:szCs w:val="24"/>
        </w:rPr>
        <w:t xml:space="preserve"> </w:t>
      </w:r>
      <w:r w:rsidR="00951D4E">
        <w:rPr>
          <w:rFonts w:ascii="Verdana" w:hAnsi="Verdana" w:cs="Times New Roman"/>
          <w:sz w:val="24"/>
          <w:szCs w:val="24"/>
        </w:rPr>
        <w:t xml:space="preserve">da </w:t>
      </w:r>
      <w:r w:rsidR="007112EC">
        <w:rPr>
          <w:rFonts w:ascii="Verdana" w:hAnsi="Verdana" w:cs="Times New Roman"/>
          <w:sz w:val="24"/>
          <w:szCs w:val="24"/>
        </w:rPr>
        <w:t>extinção</w:t>
      </w:r>
      <w:r w:rsidR="00951D4E">
        <w:rPr>
          <w:rFonts w:ascii="Verdana" w:hAnsi="Verdana" w:cs="Times New Roman"/>
          <w:sz w:val="24"/>
          <w:szCs w:val="24"/>
        </w:rPr>
        <w:t xml:space="preserve"> de qualquer estabelecimento imune</w:t>
      </w:r>
      <w:r w:rsidR="00B63EA4">
        <w:rPr>
          <w:rFonts w:ascii="Verdana" w:hAnsi="Verdana" w:cs="Times New Roman"/>
          <w:sz w:val="24"/>
          <w:szCs w:val="24"/>
        </w:rPr>
        <w:t xml:space="preserve">, seus dirigentes </w:t>
      </w:r>
      <w:r w:rsidR="007112EC">
        <w:rPr>
          <w:rFonts w:ascii="Verdana" w:hAnsi="Verdana" w:cs="Times New Roman"/>
          <w:sz w:val="24"/>
          <w:szCs w:val="24"/>
        </w:rPr>
        <w:t>s</w:t>
      </w:r>
      <w:r w:rsidR="00951D4E">
        <w:rPr>
          <w:rFonts w:ascii="Verdana" w:hAnsi="Verdana" w:cs="Times New Roman"/>
          <w:sz w:val="24"/>
          <w:szCs w:val="24"/>
        </w:rPr>
        <w:t>ão obrigado</w:t>
      </w:r>
      <w:r w:rsidR="007112EC">
        <w:rPr>
          <w:rFonts w:ascii="Verdana" w:hAnsi="Verdana" w:cs="Times New Roman"/>
          <w:sz w:val="24"/>
          <w:szCs w:val="24"/>
        </w:rPr>
        <w:t>s</w:t>
      </w:r>
      <w:r w:rsidR="00951D4E">
        <w:rPr>
          <w:rFonts w:ascii="Verdana" w:hAnsi="Verdana" w:cs="Times New Roman"/>
          <w:sz w:val="24"/>
          <w:szCs w:val="24"/>
        </w:rPr>
        <w:t xml:space="preserve"> </w:t>
      </w:r>
      <w:r w:rsidR="007112EC">
        <w:rPr>
          <w:rFonts w:ascii="Verdana" w:hAnsi="Verdana" w:cs="Times New Roman"/>
          <w:sz w:val="24"/>
          <w:szCs w:val="24"/>
        </w:rPr>
        <w:t xml:space="preserve">a </w:t>
      </w:r>
      <w:r w:rsidR="00B63EA4">
        <w:rPr>
          <w:rFonts w:ascii="Verdana" w:hAnsi="Verdana" w:cs="Times New Roman"/>
          <w:sz w:val="24"/>
          <w:szCs w:val="24"/>
        </w:rPr>
        <w:t xml:space="preserve">transferir </w:t>
      </w:r>
      <w:r w:rsidR="007112EC">
        <w:rPr>
          <w:rFonts w:ascii="Verdana" w:hAnsi="Verdana" w:cs="Times New Roman"/>
          <w:sz w:val="24"/>
          <w:szCs w:val="24"/>
        </w:rPr>
        <w:t>seu patrimônio para outras instituições do mesmo perfil</w:t>
      </w:r>
      <w:r w:rsidR="00DC2233">
        <w:rPr>
          <w:rFonts w:ascii="Verdana" w:hAnsi="Verdana" w:cs="Times New Roman"/>
          <w:sz w:val="24"/>
          <w:szCs w:val="24"/>
        </w:rPr>
        <w:t>. S</w:t>
      </w:r>
      <w:r w:rsidR="00951D4E">
        <w:rPr>
          <w:rFonts w:ascii="Verdana" w:hAnsi="Verdana" w:cs="Times New Roman"/>
          <w:sz w:val="24"/>
          <w:szCs w:val="24"/>
        </w:rPr>
        <w:t>uas atividades são, pois, complementares à</w:t>
      </w:r>
      <w:r w:rsidR="007112EC">
        <w:rPr>
          <w:rFonts w:ascii="Verdana" w:hAnsi="Verdana" w:cs="Times New Roman"/>
          <w:sz w:val="24"/>
          <w:szCs w:val="24"/>
        </w:rPr>
        <w:t xml:space="preserve"> ação oficial.</w:t>
      </w:r>
    </w:p>
    <w:p w:rsidR="007112EC" w:rsidRDefault="007112EC" w:rsidP="00032412">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Neste aspecto está, portanto, a essência das imunidades</w:t>
      </w:r>
      <w:r w:rsidR="00B63EA4">
        <w:rPr>
          <w:rFonts w:ascii="Verdana" w:hAnsi="Verdana" w:cs="Times New Roman"/>
          <w:sz w:val="24"/>
          <w:szCs w:val="24"/>
        </w:rPr>
        <w:t>,</w:t>
      </w:r>
      <w:r>
        <w:rPr>
          <w:rFonts w:ascii="Verdana" w:hAnsi="Verdana" w:cs="Times New Roman"/>
          <w:sz w:val="24"/>
          <w:szCs w:val="24"/>
        </w:rPr>
        <w:t xml:space="preserve"> que é a de atrair pessoas f</w:t>
      </w:r>
      <w:r w:rsidR="00C86C61">
        <w:rPr>
          <w:rFonts w:ascii="Verdana" w:hAnsi="Verdana" w:cs="Times New Roman"/>
          <w:sz w:val="24"/>
          <w:szCs w:val="24"/>
        </w:rPr>
        <w:t>ísicas a criar</w:t>
      </w:r>
      <w:r>
        <w:rPr>
          <w:rFonts w:ascii="Verdana" w:hAnsi="Verdana" w:cs="Times New Roman"/>
          <w:sz w:val="24"/>
          <w:szCs w:val="24"/>
        </w:rPr>
        <w:t xml:space="preserve"> </w:t>
      </w:r>
      <w:r w:rsidR="00DC2233">
        <w:rPr>
          <w:rFonts w:ascii="Verdana" w:hAnsi="Verdana" w:cs="Times New Roman"/>
          <w:sz w:val="24"/>
          <w:szCs w:val="24"/>
        </w:rPr>
        <w:t xml:space="preserve">estes estabelecimentos </w:t>
      </w:r>
      <w:r w:rsidR="00B63EA4">
        <w:rPr>
          <w:rFonts w:ascii="Verdana" w:hAnsi="Verdana" w:cs="Times New Roman"/>
          <w:sz w:val="24"/>
          <w:szCs w:val="24"/>
        </w:rPr>
        <w:t xml:space="preserve">em prol da </w:t>
      </w:r>
      <w:r w:rsidR="00DC2233">
        <w:rPr>
          <w:rFonts w:ascii="Verdana" w:hAnsi="Verdana" w:cs="Times New Roman"/>
          <w:sz w:val="24"/>
          <w:szCs w:val="24"/>
        </w:rPr>
        <w:t xml:space="preserve">sociedade, </w:t>
      </w:r>
      <w:r>
        <w:rPr>
          <w:rFonts w:ascii="Verdana" w:hAnsi="Verdana" w:cs="Times New Roman"/>
          <w:sz w:val="24"/>
          <w:szCs w:val="24"/>
        </w:rPr>
        <w:t>objetiva</w:t>
      </w:r>
      <w:r w:rsidR="00DC2233">
        <w:rPr>
          <w:rFonts w:ascii="Verdana" w:hAnsi="Verdana" w:cs="Times New Roman"/>
          <w:sz w:val="24"/>
          <w:szCs w:val="24"/>
        </w:rPr>
        <w:t>ndo</w:t>
      </w:r>
      <w:r>
        <w:rPr>
          <w:rFonts w:ascii="Verdana" w:hAnsi="Verdana" w:cs="Times New Roman"/>
          <w:sz w:val="24"/>
          <w:szCs w:val="24"/>
        </w:rPr>
        <w:t xml:space="preserve"> </w:t>
      </w:r>
      <w:r w:rsidR="00C86C61">
        <w:rPr>
          <w:rFonts w:ascii="Verdana" w:hAnsi="Verdana" w:cs="Times New Roman"/>
          <w:sz w:val="24"/>
          <w:szCs w:val="24"/>
        </w:rPr>
        <w:t xml:space="preserve">atender </w:t>
      </w:r>
      <w:r w:rsidR="00B63EA4">
        <w:rPr>
          <w:rFonts w:ascii="Verdana" w:hAnsi="Verdana" w:cs="Times New Roman"/>
          <w:sz w:val="24"/>
          <w:szCs w:val="24"/>
        </w:rPr>
        <w:t>três</w:t>
      </w:r>
      <w:r>
        <w:rPr>
          <w:rFonts w:ascii="Verdana" w:hAnsi="Verdana" w:cs="Times New Roman"/>
          <w:sz w:val="24"/>
          <w:szCs w:val="24"/>
        </w:rPr>
        <w:t xml:space="preserve"> </w:t>
      </w:r>
      <w:r w:rsidR="00DC2233">
        <w:rPr>
          <w:rFonts w:ascii="Verdana" w:hAnsi="Verdana" w:cs="Times New Roman"/>
          <w:sz w:val="24"/>
          <w:szCs w:val="24"/>
        </w:rPr>
        <w:t xml:space="preserve">finalidades </w:t>
      </w:r>
      <w:r>
        <w:rPr>
          <w:rFonts w:ascii="Verdana" w:hAnsi="Verdana" w:cs="Times New Roman"/>
          <w:sz w:val="24"/>
          <w:szCs w:val="24"/>
        </w:rPr>
        <w:t xml:space="preserve">governamentais de extrema relevância para o desenvolvimento nacional, ou seja, </w:t>
      </w:r>
      <w:r w:rsidR="00C86C61">
        <w:rPr>
          <w:rFonts w:ascii="Verdana" w:hAnsi="Verdana" w:cs="Times New Roman"/>
          <w:sz w:val="24"/>
          <w:szCs w:val="24"/>
        </w:rPr>
        <w:t xml:space="preserve">oferecer </w:t>
      </w:r>
      <w:r>
        <w:rPr>
          <w:rFonts w:ascii="Verdana" w:hAnsi="Verdana" w:cs="Times New Roman"/>
          <w:sz w:val="24"/>
          <w:szCs w:val="24"/>
        </w:rPr>
        <w:t>educação</w:t>
      </w:r>
      <w:r w:rsidR="00B63EA4">
        <w:rPr>
          <w:rFonts w:ascii="Verdana" w:hAnsi="Verdana" w:cs="Times New Roman"/>
          <w:sz w:val="24"/>
          <w:szCs w:val="24"/>
        </w:rPr>
        <w:t>,</w:t>
      </w:r>
      <w:r>
        <w:rPr>
          <w:rFonts w:ascii="Verdana" w:hAnsi="Verdana" w:cs="Times New Roman"/>
          <w:sz w:val="24"/>
          <w:szCs w:val="24"/>
        </w:rPr>
        <w:t xml:space="preserve"> saúde</w:t>
      </w:r>
      <w:r w:rsidR="00C86C61">
        <w:rPr>
          <w:rFonts w:ascii="Verdana" w:hAnsi="Verdana" w:cs="Times New Roman"/>
          <w:sz w:val="24"/>
          <w:szCs w:val="24"/>
        </w:rPr>
        <w:t xml:space="preserve"> </w:t>
      </w:r>
      <w:r w:rsidR="00B63EA4">
        <w:rPr>
          <w:rFonts w:ascii="Verdana" w:hAnsi="Verdana" w:cs="Times New Roman"/>
          <w:sz w:val="24"/>
          <w:szCs w:val="24"/>
        </w:rPr>
        <w:t xml:space="preserve">e assistência social </w:t>
      </w:r>
      <w:r w:rsidR="00C86C61">
        <w:rPr>
          <w:rFonts w:ascii="Verdana" w:hAnsi="Verdana" w:cs="Times New Roman"/>
          <w:sz w:val="24"/>
          <w:szCs w:val="24"/>
        </w:rPr>
        <w:t>a todos</w:t>
      </w:r>
      <w:r>
        <w:rPr>
          <w:rFonts w:ascii="Verdana" w:hAnsi="Verdana" w:cs="Times New Roman"/>
          <w:sz w:val="24"/>
          <w:szCs w:val="24"/>
        </w:rPr>
        <w:t>.</w:t>
      </w:r>
    </w:p>
    <w:p w:rsidR="007112EC" w:rsidRDefault="007112EC" w:rsidP="00032412">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 xml:space="preserve">Parece-me, pois, ao ler todo o projeto de previdência (PEC </w:t>
      </w:r>
      <w:r w:rsidR="00C86C61">
        <w:rPr>
          <w:rFonts w:ascii="Verdana" w:hAnsi="Verdana" w:cs="Times New Roman"/>
          <w:sz w:val="24"/>
          <w:szCs w:val="24"/>
        </w:rPr>
        <w:t>287/2016</w:t>
      </w:r>
      <w:r>
        <w:rPr>
          <w:rFonts w:ascii="Verdana" w:hAnsi="Verdana" w:cs="Times New Roman"/>
          <w:sz w:val="24"/>
          <w:szCs w:val="24"/>
        </w:rPr>
        <w:t>)</w:t>
      </w:r>
      <w:r w:rsidR="00B63EA4">
        <w:rPr>
          <w:rFonts w:ascii="Verdana" w:hAnsi="Verdana" w:cs="Times New Roman"/>
          <w:sz w:val="24"/>
          <w:szCs w:val="24"/>
        </w:rPr>
        <w:t>,</w:t>
      </w:r>
      <w:r>
        <w:rPr>
          <w:rFonts w:ascii="Verdana" w:hAnsi="Verdana" w:cs="Times New Roman"/>
          <w:sz w:val="24"/>
          <w:szCs w:val="24"/>
        </w:rPr>
        <w:t xml:space="preserve"> que estes aspectos não foram </w:t>
      </w:r>
      <w:r w:rsidR="00DC2233">
        <w:rPr>
          <w:rFonts w:ascii="Verdana" w:hAnsi="Verdana" w:cs="Times New Roman"/>
          <w:sz w:val="24"/>
          <w:szCs w:val="24"/>
        </w:rPr>
        <w:t>macula</w:t>
      </w:r>
      <w:r>
        <w:rPr>
          <w:rFonts w:ascii="Verdana" w:hAnsi="Verdana" w:cs="Times New Roman"/>
          <w:sz w:val="24"/>
          <w:szCs w:val="24"/>
        </w:rPr>
        <w:t>dos, cont</w:t>
      </w:r>
      <w:r w:rsidR="00C86C61">
        <w:rPr>
          <w:rFonts w:ascii="Verdana" w:hAnsi="Verdana" w:cs="Times New Roman"/>
          <w:sz w:val="24"/>
          <w:szCs w:val="24"/>
        </w:rPr>
        <w:t>inuando a ser reguladas</w:t>
      </w:r>
      <w:r w:rsidR="00DC2233">
        <w:rPr>
          <w:rFonts w:ascii="Verdana" w:hAnsi="Verdana" w:cs="Times New Roman"/>
          <w:sz w:val="24"/>
          <w:szCs w:val="24"/>
        </w:rPr>
        <w:t>,</w:t>
      </w:r>
      <w:r>
        <w:rPr>
          <w:rFonts w:ascii="Verdana" w:hAnsi="Verdana" w:cs="Times New Roman"/>
          <w:sz w:val="24"/>
          <w:szCs w:val="24"/>
        </w:rPr>
        <w:t xml:space="preserve"> tais instituições</w:t>
      </w:r>
      <w:r w:rsidR="00DC2233">
        <w:rPr>
          <w:rFonts w:ascii="Verdana" w:hAnsi="Verdana" w:cs="Times New Roman"/>
          <w:sz w:val="24"/>
          <w:szCs w:val="24"/>
        </w:rPr>
        <w:t>,</w:t>
      </w:r>
      <w:r>
        <w:rPr>
          <w:rFonts w:ascii="Verdana" w:hAnsi="Verdana" w:cs="Times New Roman"/>
          <w:sz w:val="24"/>
          <w:szCs w:val="24"/>
        </w:rPr>
        <w:t xml:space="preserve"> pelos princípios constitucionais atrás mencionados, </w:t>
      </w:r>
      <w:r w:rsidR="00DC2233">
        <w:rPr>
          <w:rFonts w:ascii="Verdana" w:hAnsi="Verdana" w:cs="Times New Roman"/>
          <w:sz w:val="24"/>
          <w:szCs w:val="24"/>
        </w:rPr>
        <w:lastRenderedPageBreak/>
        <w:t>explicitado</w:t>
      </w:r>
      <w:r w:rsidR="00C86C61">
        <w:rPr>
          <w:rFonts w:ascii="Verdana" w:hAnsi="Verdana" w:cs="Times New Roman"/>
          <w:sz w:val="24"/>
          <w:szCs w:val="24"/>
        </w:rPr>
        <w:t xml:space="preserve">s </w:t>
      </w:r>
      <w:r>
        <w:rPr>
          <w:rFonts w:ascii="Verdana" w:hAnsi="Verdana" w:cs="Times New Roman"/>
          <w:sz w:val="24"/>
          <w:szCs w:val="24"/>
        </w:rPr>
        <w:t>principalmente pela</w:t>
      </w:r>
      <w:r w:rsidR="00C86C61">
        <w:rPr>
          <w:rFonts w:ascii="Verdana" w:hAnsi="Verdana" w:cs="Times New Roman"/>
          <w:sz w:val="24"/>
          <w:szCs w:val="24"/>
        </w:rPr>
        <w:t>s</w:t>
      </w:r>
      <w:r>
        <w:rPr>
          <w:rFonts w:ascii="Verdana" w:hAnsi="Verdana" w:cs="Times New Roman"/>
          <w:sz w:val="24"/>
          <w:szCs w:val="24"/>
        </w:rPr>
        <w:t xml:space="preserve"> decis</w:t>
      </w:r>
      <w:r w:rsidR="00C86C61">
        <w:rPr>
          <w:rFonts w:ascii="Verdana" w:hAnsi="Verdana" w:cs="Times New Roman"/>
          <w:sz w:val="24"/>
          <w:szCs w:val="24"/>
        </w:rPr>
        <w:t>ões</w:t>
      </w:r>
      <w:r>
        <w:rPr>
          <w:rFonts w:ascii="Verdana" w:hAnsi="Verdana" w:cs="Times New Roman"/>
          <w:sz w:val="24"/>
          <w:szCs w:val="24"/>
        </w:rPr>
        <w:t xml:space="preserve"> das referidas </w:t>
      </w:r>
      <w:proofErr w:type="spellStart"/>
      <w:r>
        <w:rPr>
          <w:rFonts w:ascii="Verdana" w:hAnsi="Verdana" w:cs="Times New Roman"/>
          <w:sz w:val="24"/>
          <w:szCs w:val="24"/>
        </w:rPr>
        <w:t>ADI</w:t>
      </w:r>
      <w:r w:rsidR="0017131B">
        <w:rPr>
          <w:rFonts w:ascii="Verdana" w:hAnsi="Verdana" w:cs="Times New Roman"/>
          <w:sz w:val="24"/>
          <w:szCs w:val="24"/>
        </w:rPr>
        <w:t>’</w:t>
      </w:r>
      <w:r>
        <w:rPr>
          <w:rFonts w:ascii="Verdana" w:hAnsi="Verdana" w:cs="Times New Roman"/>
          <w:sz w:val="24"/>
          <w:szCs w:val="24"/>
        </w:rPr>
        <w:t>s</w:t>
      </w:r>
      <w:proofErr w:type="spellEnd"/>
      <w:r>
        <w:rPr>
          <w:rFonts w:ascii="Verdana" w:hAnsi="Verdana" w:cs="Times New Roman"/>
          <w:sz w:val="24"/>
          <w:szCs w:val="24"/>
        </w:rPr>
        <w:t xml:space="preserve"> e </w:t>
      </w:r>
      <w:r w:rsidR="008C7945">
        <w:rPr>
          <w:rFonts w:ascii="Verdana" w:hAnsi="Verdana" w:cs="Times New Roman"/>
          <w:sz w:val="24"/>
          <w:szCs w:val="24"/>
        </w:rPr>
        <w:t xml:space="preserve">do </w:t>
      </w:r>
      <w:r w:rsidR="00B63EA4">
        <w:rPr>
          <w:rFonts w:ascii="Verdana" w:hAnsi="Verdana" w:cs="Times New Roman"/>
          <w:sz w:val="24"/>
          <w:szCs w:val="24"/>
        </w:rPr>
        <w:t>RE</w:t>
      </w:r>
      <w:r w:rsidR="00537A71">
        <w:rPr>
          <w:rFonts w:ascii="Verdana" w:hAnsi="Verdana" w:cs="Times New Roman"/>
          <w:sz w:val="24"/>
          <w:szCs w:val="24"/>
        </w:rPr>
        <w:t xml:space="preserve"> de Repe</w:t>
      </w:r>
      <w:r w:rsidR="00C86C61">
        <w:rPr>
          <w:rFonts w:ascii="Verdana" w:hAnsi="Verdana" w:cs="Times New Roman"/>
          <w:sz w:val="24"/>
          <w:szCs w:val="24"/>
        </w:rPr>
        <w:t>r</w:t>
      </w:r>
      <w:r w:rsidR="00537A71">
        <w:rPr>
          <w:rFonts w:ascii="Verdana" w:hAnsi="Verdana" w:cs="Times New Roman"/>
          <w:sz w:val="24"/>
          <w:szCs w:val="24"/>
        </w:rPr>
        <w:t xml:space="preserve">cussão Geral, </w:t>
      </w:r>
      <w:r w:rsidR="00C86C61">
        <w:rPr>
          <w:rFonts w:ascii="Verdana" w:hAnsi="Verdana" w:cs="Times New Roman"/>
          <w:sz w:val="24"/>
          <w:szCs w:val="24"/>
        </w:rPr>
        <w:t xml:space="preserve">cujos </w:t>
      </w:r>
      <w:r w:rsidR="00537A71">
        <w:rPr>
          <w:rFonts w:ascii="Verdana" w:hAnsi="Verdana" w:cs="Times New Roman"/>
          <w:sz w:val="24"/>
          <w:szCs w:val="24"/>
        </w:rPr>
        <w:t>acórdão</w:t>
      </w:r>
      <w:r w:rsidR="00C86C61">
        <w:rPr>
          <w:rFonts w:ascii="Verdana" w:hAnsi="Verdana" w:cs="Times New Roman"/>
          <w:sz w:val="24"/>
          <w:szCs w:val="24"/>
        </w:rPr>
        <w:t>s</w:t>
      </w:r>
      <w:r w:rsidR="00537A71">
        <w:rPr>
          <w:rFonts w:ascii="Verdana" w:hAnsi="Verdana" w:cs="Times New Roman"/>
          <w:sz w:val="24"/>
          <w:szCs w:val="24"/>
        </w:rPr>
        <w:t xml:space="preserve"> não</w:t>
      </w:r>
      <w:r w:rsidR="00C86C61">
        <w:rPr>
          <w:rFonts w:ascii="Verdana" w:hAnsi="Verdana" w:cs="Times New Roman"/>
          <w:sz w:val="24"/>
          <w:szCs w:val="24"/>
        </w:rPr>
        <w:t xml:space="preserve"> foram ainda</w:t>
      </w:r>
      <w:r w:rsidR="00537A71">
        <w:rPr>
          <w:rFonts w:ascii="Verdana" w:hAnsi="Verdana" w:cs="Times New Roman"/>
          <w:sz w:val="24"/>
          <w:szCs w:val="24"/>
        </w:rPr>
        <w:t xml:space="preserve"> publicado</w:t>
      </w:r>
      <w:r w:rsidR="00C86C61">
        <w:rPr>
          <w:rFonts w:ascii="Verdana" w:hAnsi="Verdana" w:cs="Times New Roman"/>
          <w:sz w:val="24"/>
          <w:szCs w:val="24"/>
        </w:rPr>
        <w:t>s</w:t>
      </w:r>
      <w:r w:rsidR="00537A71">
        <w:rPr>
          <w:rFonts w:ascii="Verdana" w:hAnsi="Verdana" w:cs="Times New Roman"/>
          <w:sz w:val="24"/>
          <w:szCs w:val="24"/>
        </w:rPr>
        <w:t>.</w:t>
      </w:r>
    </w:p>
    <w:p w:rsidR="00537A71" w:rsidRDefault="00537A71" w:rsidP="00032412">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 xml:space="preserve">Roque </w:t>
      </w:r>
      <w:proofErr w:type="spellStart"/>
      <w:r>
        <w:rPr>
          <w:rFonts w:ascii="Verdana" w:hAnsi="Verdana" w:cs="Times New Roman"/>
          <w:sz w:val="24"/>
          <w:szCs w:val="24"/>
        </w:rPr>
        <w:t>Carrazza</w:t>
      </w:r>
      <w:proofErr w:type="spellEnd"/>
      <w:r>
        <w:rPr>
          <w:rFonts w:ascii="Verdana" w:hAnsi="Verdana" w:cs="Times New Roman"/>
          <w:sz w:val="24"/>
          <w:szCs w:val="24"/>
        </w:rPr>
        <w:t>, no mais profundo livro escrito sobre as imunidades tributárias de instituiçõe</w:t>
      </w:r>
      <w:r w:rsidR="00382CE6">
        <w:rPr>
          <w:rFonts w:ascii="Verdana" w:hAnsi="Verdana" w:cs="Times New Roman"/>
          <w:sz w:val="24"/>
          <w:szCs w:val="24"/>
        </w:rPr>
        <w:t>s filantrópicas, confessionais,</w:t>
      </w:r>
      <w:r w:rsidR="00A31E5B">
        <w:rPr>
          <w:rFonts w:ascii="Verdana" w:hAnsi="Verdana" w:cs="Times New Roman"/>
          <w:sz w:val="24"/>
          <w:szCs w:val="24"/>
        </w:rPr>
        <w:t xml:space="preserve"> comunitárias</w:t>
      </w:r>
      <w:r w:rsidR="00382CE6">
        <w:rPr>
          <w:rFonts w:ascii="Verdana" w:hAnsi="Verdana" w:cs="Times New Roman"/>
          <w:sz w:val="24"/>
          <w:szCs w:val="24"/>
        </w:rPr>
        <w:t xml:space="preserve"> e</w:t>
      </w:r>
      <w:r>
        <w:rPr>
          <w:rFonts w:ascii="Verdana" w:hAnsi="Verdana" w:cs="Times New Roman"/>
          <w:sz w:val="24"/>
          <w:szCs w:val="24"/>
        </w:rPr>
        <w:t xml:space="preserve"> sem fins lucrativos, de forma exaustiva, didática e de absoluto rigor científico</w:t>
      </w:r>
      <w:r w:rsidR="00C86C61">
        <w:rPr>
          <w:rFonts w:ascii="Verdana" w:hAnsi="Verdana" w:cs="Times New Roman"/>
          <w:sz w:val="24"/>
          <w:szCs w:val="24"/>
        </w:rPr>
        <w:t>,</w:t>
      </w:r>
      <w:r>
        <w:rPr>
          <w:rFonts w:ascii="Verdana" w:hAnsi="Verdana" w:cs="Times New Roman"/>
          <w:sz w:val="24"/>
          <w:szCs w:val="24"/>
        </w:rPr>
        <w:t xml:space="preserve"> demonstra, à saciedade, porque são cláusulas pétreas e porque razão devem ser preservadas, principalmente num momento em que os governos das demais unidades federativas não encontram espaço para atender a imensa necessidade de desenvolvimento educacional e atendimento à população brasileira, no plano da saúde</w:t>
      </w:r>
      <w:r w:rsidR="00B63EA4">
        <w:rPr>
          <w:rFonts w:ascii="Verdana" w:hAnsi="Verdana" w:cs="Times New Roman"/>
          <w:sz w:val="24"/>
          <w:szCs w:val="24"/>
        </w:rPr>
        <w:t xml:space="preserve"> e da educação</w:t>
      </w:r>
      <w:r>
        <w:rPr>
          <w:rFonts w:ascii="Verdana" w:hAnsi="Verdana" w:cs="Times New Roman"/>
          <w:sz w:val="24"/>
          <w:szCs w:val="24"/>
        </w:rPr>
        <w:t>, por escassez de recursos</w:t>
      </w:r>
      <w:r w:rsidR="00B63EA4">
        <w:rPr>
          <w:rFonts w:ascii="Verdana" w:hAnsi="Verdana" w:cs="Times New Roman"/>
          <w:sz w:val="24"/>
          <w:szCs w:val="24"/>
        </w:rPr>
        <w:t>,</w:t>
      </w:r>
      <w:r>
        <w:rPr>
          <w:rFonts w:ascii="Verdana" w:hAnsi="Verdana" w:cs="Times New Roman"/>
          <w:sz w:val="24"/>
          <w:szCs w:val="24"/>
        </w:rPr>
        <w:t xml:space="preserve"> nas burras estatais </w:t>
      </w:r>
      <w:r>
        <w:rPr>
          <w:rStyle w:val="Refdenotaderodap"/>
          <w:rFonts w:ascii="Verdana" w:hAnsi="Verdana" w:cs="Times New Roman"/>
          <w:sz w:val="24"/>
          <w:szCs w:val="24"/>
        </w:rPr>
        <w:footnoteReference w:id="16"/>
      </w:r>
      <w:r>
        <w:rPr>
          <w:rFonts w:ascii="Verdana" w:hAnsi="Verdana" w:cs="Times New Roman"/>
          <w:sz w:val="24"/>
          <w:szCs w:val="24"/>
        </w:rPr>
        <w:t>.</w:t>
      </w:r>
    </w:p>
    <w:p w:rsidR="00AA186F" w:rsidRDefault="00C86C61" w:rsidP="00032412">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Por fim,</w:t>
      </w:r>
      <w:r w:rsidR="00AA186F">
        <w:rPr>
          <w:rFonts w:ascii="Verdana" w:hAnsi="Verdana" w:cs="Times New Roman"/>
          <w:sz w:val="24"/>
          <w:szCs w:val="24"/>
        </w:rPr>
        <w:t xml:space="preserve"> apenas para argumentar </w:t>
      </w:r>
      <w:r>
        <w:rPr>
          <w:rFonts w:ascii="Verdana" w:hAnsi="Verdana" w:cs="Times New Roman"/>
          <w:sz w:val="24"/>
          <w:szCs w:val="24"/>
        </w:rPr>
        <w:t>p</w:t>
      </w:r>
      <w:r w:rsidR="008C7945">
        <w:rPr>
          <w:rFonts w:ascii="Verdana" w:hAnsi="Verdana" w:cs="Times New Roman"/>
          <w:sz w:val="24"/>
          <w:szCs w:val="24"/>
        </w:rPr>
        <w:t>el</w:t>
      </w:r>
      <w:r>
        <w:rPr>
          <w:rFonts w:ascii="Verdana" w:hAnsi="Verdana" w:cs="Times New Roman"/>
          <w:sz w:val="24"/>
          <w:szCs w:val="24"/>
        </w:rPr>
        <w:t>o absurdo</w:t>
      </w:r>
      <w:r w:rsidR="008C7945">
        <w:rPr>
          <w:rFonts w:ascii="Verdana" w:hAnsi="Verdana" w:cs="Times New Roman"/>
          <w:sz w:val="24"/>
          <w:szCs w:val="24"/>
        </w:rPr>
        <w:t>,</w:t>
      </w:r>
      <w:r w:rsidR="00AA186F">
        <w:rPr>
          <w:rFonts w:ascii="Verdana" w:hAnsi="Verdana" w:cs="Times New Roman"/>
          <w:sz w:val="24"/>
          <w:szCs w:val="24"/>
        </w:rPr>
        <w:t xml:space="preserve"> se possível fosse tributar</w:t>
      </w:r>
      <w:r>
        <w:rPr>
          <w:rFonts w:ascii="Verdana" w:hAnsi="Verdana" w:cs="Times New Roman"/>
          <w:sz w:val="24"/>
          <w:szCs w:val="24"/>
        </w:rPr>
        <w:t xml:space="preserve"> tais instituições</w:t>
      </w:r>
      <w:r w:rsidR="00AA186F">
        <w:rPr>
          <w:rFonts w:ascii="Verdana" w:hAnsi="Verdana" w:cs="Times New Roman"/>
          <w:sz w:val="24"/>
          <w:szCs w:val="24"/>
        </w:rPr>
        <w:t xml:space="preserve"> com impostos e contribuiç</w:t>
      </w:r>
      <w:r>
        <w:rPr>
          <w:rFonts w:ascii="Verdana" w:hAnsi="Verdana" w:cs="Times New Roman"/>
          <w:sz w:val="24"/>
          <w:szCs w:val="24"/>
        </w:rPr>
        <w:t>ões sociais</w:t>
      </w:r>
      <w:r w:rsidR="00AA186F">
        <w:rPr>
          <w:rFonts w:ascii="Verdana" w:hAnsi="Verdana" w:cs="Times New Roman"/>
          <w:sz w:val="24"/>
          <w:szCs w:val="24"/>
        </w:rPr>
        <w:t xml:space="preserve">, o que teríamos </w:t>
      </w:r>
      <w:r w:rsidR="008C7945">
        <w:rPr>
          <w:rFonts w:ascii="Verdana" w:hAnsi="Verdana" w:cs="Times New Roman"/>
          <w:sz w:val="24"/>
          <w:szCs w:val="24"/>
        </w:rPr>
        <w:t>s</w:t>
      </w:r>
      <w:r w:rsidR="00AA186F">
        <w:rPr>
          <w:rFonts w:ascii="Verdana" w:hAnsi="Verdana" w:cs="Times New Roman"/>
          <w:sz w:val="24"/>
          <w:szCs w:val="24"/>
        </w:rPr>
        <w:t>er</w:t>
      </w:r>
      <w:r w:rsidR="008C7945">
        <w:rPr>
          <w:rFonts w:ascii="Verdana" w:hAnsi="Verdana" w:cs="Times New Roman"/>
          <w:sz w:val="24"/>
          <w:szCs w:val="24"/>
        </w:rPr>
        <w:t>i</w:t>
      </w:r>
      <w:r w:rsidR="00AA186F">
        <w:rPr>
          <w:rFonts w:ascii="Verdana" w:hAnsi="Verdana" w:cs="Times New Roman"/>
          <w:sz w:val="24"/>
          <w:szCs w:val="24"/>
        </w:rPr>
        <w:t xml:space="preserve">a um ensino mais caro e uma saúde mais onerosa para </w:t>
      </w:r>
      <w:r w:rsidR="00AA186F">
        <w:rPr>
          <w:rFonts w:ascii="Verdana" w:hAnsi="Verdana" w:cs="Times New Roman"/>
          <w:sz w:val="24"/>
          <w:szCs w:val="24"/>
        </w:rPr>
        <w:lastRenderedPageBreak/>
        <w:t>todos os brasileiros, afetando diretamente a população</w:t>
      </w:r>
      <w:r>
        <w:rPr>
          <w:rFonts w:ascii="Verdana" w:hAnsi="Verdana" w:cs="Times New Roman"/>
          <w:sz w:val="24"/>
          <w:szCs w:val="24"/>
        </w:rPr>
        <w:t>, mormente a de menor renda</w:t>
      </w:r>
      <w:r w:rsidR="00AA186F">
        <w:rPr>
          <w:rFonts w:ascii="Verdana" w:hAnsi="Verdana" w:cs="Times New Roman"/>
          <w:sz w:val="24"/>
          <w:szCs w:val="24"/>
        </w:rPr>
        <w:t xml:space="preserve"> </w:t>
      </w:r>
      <w:r w:rsidR="00AA186F">
        <w:rPr>
          <w:rStyle w:val="Refdenotaderodap"/>
          <w:rFonts w:ascii="Verdana" w:hAnsi="Verdana" w:cs="Times New Roman"/>
          <w:sz w:val="24"/>
          <w:szCs w:val="24"/>
        </w:rPr>
        <w:footnoteReference w:id="17"/>
      </w:r>
      <w:r w:rsidR="00AA186F">
        <w:rPr>
          <w:rFonts w:ascii="Verdana" w:hAnsi="Verdana" w:cs="Times New Roman"/>
          <w:sz w:val="24"/>
          <w:szCs w:val="24"/>
        </w:rPr>
        <w:t>.</w:t>
      </w:r>
    </w:p>
    <w:p w:rsidR="00A77EFC" w:rsidRDefault="004E7B96"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Talvez, por esta razão é q</w:t>
      </w:r>
      <w:r w:rsidR="008C7945">
        <w:rPr>
          <w:rFonts w:ascii="Verdana" w:hAnsi="Verdana" w:cs="Times New Roman"/>
          <w:sz w:val="24"/>
          <w:szCs w:val="24"/>
        </w:rPr>
        <w:t>ue a PEC 287/16 não tocou no d</w:t>
      </w:r>
      <w:r>
        <w:rPr>
          <w:rFonts w:ascii="Verdana" w:hAnsi="Verdana" w:cs="Times New Roman"/>
          <w:sz w:val="24"/>
          <w:szCs w:val="24"/>
        </w:rPr>
        <w:t>is</w:t>
      </w:r>
      <w:r w:rsidR="008C7945">
        <w:rPr>
          <w:rFonts w:ascii="Verdana" w:hAnsi="Verdana" w:cs="Times New Roman"/>
          <w:sz w:val="24"/>
          <w:szCs w:val="24"/>
        </w:rPr>
        <w:t>positivo chave</w:t>
      </w:r>
      <w:r>
        <w:rPr>
          <w:rFonts w:ascii="Verdana" w:hAnsi="Verdana" w:cs="Times New Roman"/>
          <w:sz w:val="24"/>
          <w:szCs w:val="24"/>
        </w:rPr>
        <w:t xml:space="preserve"> </w:t>
      </w:r>
      <w:r w:rsidR="00B63EA4">
        <w:rPr>
          <w:rFonts w:ascii="Verdana" w:hAnsi="Verdana" w:cs="Times New Roman"/>
          <w:sz w:val="24"/>
          <w:szCs w:val="24"/>
        </w:rPr>
        <w:t xml:space="preserve">que garante </w:t>
      </w:r>
      <w:r>
        <w:rPr>
          <w:rFonts w:ascii="Verdana" w:hAnsi="Verdana" w:cs="Times New Roman"/>
          <w:sz w:val="24"/>
          <w:szCs w:val="24"/>
        </w:rPr>
        <w:t>a imunidade d</w:t>
      </w:r>
      <w:r w:rsidR="00C86C61">
        <w:rPr>
          <w:rFonts w:ascii="Verdana" w:hAnsi="Verdana" w:cs="Times New Roman"/>
          <w:sz w:val="24"/>
          <w:szCs w:val="24"/>
        </w:rPr>
        <w:t>as</w:t>
      </w:r>
      <w:r>
        <w:rPr>
          <w:rFonts w:ascii="Verdana" w:hAnsi="Verdana" w:cs="Times New Roman"/>
          <w:sz w:val="24"/>
          <w:szCs w:val="24"/>
        </w:rPr>
        <w:t xml:space="preserve"> contribuições sociais, ou seja, </w:t>
      </w:r>
      <w:r w:rsidR="00C86C61">
        <w:rPr>
          <w:rFonts w:ascii="Verdana" w:hAnsi="Verdana" w:cs="Times New Roman"/>
          <w:sz w:val="24"/>
          <w:szCs w:val="24"/>
        </w:rPr>
        <w:t>o artigo</w:t>
      </w:r>
      <w:r>
        <w:rPr>
          <w:rFonts w:ascii="Verdana" w:hAnsi="Verdana" w:cs="Times New Roman"/>
          <w:sz w:val="24"/>
          <w:szCs w:val="24"/>
        </w:rPr>
        <w:t xml:space="preserve"> </w:t>
      </w:r>
      <w:r w:rsidR="008C7945">
        <w:rPr>
          <w:rFonts w:ascii="Verdana" w:hAnsi="Verdana" w:cs="Times New Roman"/>
          <w:sz w:val="24"/>
          <w:szCs w:val="24"/>
        </w:rPr>
        <w:t>195, § 7º, que permanece inalterado</w:t>
      </w:r>
      <w:r w:rsidR="00B63EA4">
        <w:rPr>
          <w:rFonts w:ascii="Verdana" w:hAnsi="Verdana" w:cs="Times New Roman"/>
          <w:sz w:val="24"/>
          <w:szCs w:val="24"/>
        </w:rPr>
        <w:t>,</w:t>
      </w:r>
      <w:r>
        <w:rPr>
          <w:rFonts w:ascii="Verdana" w:hAnsi="Verdana" w:cs="Times New Roman"/>
          <w:sz w:val="24"/>
          <w:szCs w:val="24"/>
        </w:rPr>
        <w:t xml:space="preserve"> no projeto governamental de </w:t>
      </w:r>
      <w:r w:rsidR="00A77EFC">
        <w:rPr>
          <w:rFonts w:ascii="Verdana" w:hAnsi="Verdana" w:cs="Times New Roman"/>
          <w:sz w:val="24"/>
          <w:szCs w:val="24"/>
        </w:rPr>
        <w:t>adaptação previdenciária.</w:t>
      </w:r>
    </w:p>
    <w:p w:rsidR="00A77EFC" w:rsidRDefault="00A77EFC"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lastRenderedPageBreak/>
        <w:t xml:space="preserve">Tenho a convicção </w:t>
      </w:r>
      <w:r w:rsidR="00B63EA4">
        <w:rPr>
          <w:rFonts w:ascii="Verdana" w:hAnsi="Verdana" w:cs="Times New Roman"/>
          <w:sz w:val="24"/>
          <w:szCs w:val="24"/>
        </w:rPr>
        <w:t xml:space="preserve">de </w:t>
      </w:r>
      <w:r>
        <w:rPr>
          <w:rFonts w:ascii="Verdana" w:hAnsi="Verdana" w:cs="Times New Roman"/>
          <w:sz w:val="24"/>
          <w:szCs w:val="24"/>
        </w:rPr>
        <w:t>que a reforma previdenciári</w:t>
      </w:r>
      <w:r w:rsidR="00382CE6">
        <w:rPr>
          <w:rFonts w:ascii="Verdana" w:hAnsi="Verdana" w:cs="Times New Roman"/>
          <w:sz w:val="24"/>
          <w:szCs w:val="24"/>
        </w:rPr>
        <w:t>a é essencial. Defendi</w:t>
      </w:r>
      <w:r>
        <w:rPr>
          <w:rFonts w:ascii="Verdana" w:hAnsi="Verdana" w:cs="Times New Roman"/>
          <w:sz w:val="24"/>
          <w:szCs w:val="24"/>
        </w:rPr>
        <w:t xml:space="preserve"> esta necessidade, </w:t>
      </w:r>
      <w:r w:rsidR="00A31E5B">
        <w:rPr>
          <w:rFonts w:ascii="Verdana" w:hAnsi="Verdana" w:cs="Times New Roman"/>
          <w:sz w:val="24"/>
          <w:szCs w:val="24"/>
        </w:rPr>
        <w:t xml:space="preserve">assim </w:t>
      </w:r>
      <w:r>
        <w:rPr>
          <w:rFonts w:ascii="Verdana" w:hAnsi="Verdana" w:cs="Times New Roman"/>
          <w:sz w:val="24"/>
          <w:szCs w:val="24"/>
        </w:rPr>
        <w:t xml:space="preserve">como </w:t>
      </w:r>
      <w:r w:rsidR="00A31E5B">
        <w:rPr>
          <w:rFonts w:ascii="Verdana" w:hAnsi="Verdana" w:cs="Times New Roman"/>
          <w:sz w:val="24"/>
          <w:szCs w:val="24"/>
        </w:rPr>
        <w:t xml:space="preserve">de outras reformas, como </w:t>
      </w:r>
      <w:r>
        <w:rPr>
          <w:rFonts w:ascii="Verdana" w:hAnsi="Verdana" w:cs="Times New Roman"/>
          <w:sz w:val="24"/>
          <w:szCs w:val="24"/>
        </w:rPr>
        <w:t>se pode ler no editorial escrito para</w:t>
      </w:r>
      <w:r w:rsidR="008C7945">
        <w:rPr>
          <w:rFonts w:ascii="Verdana" w:hAnsi="Verdana" w:cs="Times New Roman"/>
          <w:sz w:val="24"/>
          <w:szCs w:val="24"/>
        </w:rPr>
        <w:t xml:space="preserve"> a Revista </w:t>
      </w:r>
      <w:r w:rsidR="00A31E5B">
        <w:rPr>
          <w:rFonts w:ascii="Verdana" w:hAnsi="Verdana" w:cs="Times New Roman"/>
          <w:sz w:val="24"/>
          <w:szCs w:val="24"/>
        </w:rPr>
        <w:t xml:space="preserve">Justiça e Cidadania </w:t>
      </w:r>
      <w:r w:rsidR="008C7945">
        <w:rPr>
          <w:rFonts w:ascii="Verdana" w:hAnsi="Verdana" w:cs="Times New Roman"/>
          <w:sz w:val="24"/>
          <w:szCs w:val="24"/>
        </w:rPr>
        <w:t>endereçada</w:t>
      </w:r>
      <w:r w:rsidR="00A31E5B">
        <w:rPr>
          <w:rFonts w:ascii="Verdana" w:hAnsi="Verdana" w:cs="Times New Roman"/>
          <w:sz w:val="24"/>
          <w:szCs w:val="24"/>
        </w:rPr>
        <w:t xml:space="preserve"> especialmente</w:t>
      </w:r>
      <w:r>
        <w:rPr>
          <w:rFonts w:ascii="Verdana" w:hAnsi="Verdana" w:cs="Times New Roman"/>
          <w:sz w:val="24"/>
          <w:szCs w:val="24"/>
        </w:rPr>
        <w:t xml:space="preserve"> aos 18.000 magi</w:t>
      </w:r>
      <w:r w:rsidR="008C7945">
        <w:rPr>
          <w:rFonts w:ascii="Verdana" w:hAnsi="Verdana" w:cs="Times New Roman"/>
          <w:sz w:val="24"/>
          <w:szCs w:val="24"/>
        </w:rPr>
        <w:t>strados brasileiros</w:t>
      </w:r>
      <w:r w:rsidR="00A31E5B">
        <w:rPr>
          <w:rFonts w:ascii="Verdana" w:hAnsi="Verdana" w:cs="Times New Roman"/>
          <w:sz w:val="24"/>
          <w:szCs w:val="24"/>
        </w:rPr>
        <w:t>,</w:t>
      </w:r>
      <w:r w:rsidR="008C7945">
        <w:rPr>
          <w:rFonts w:ascii="Verdana" w:hAnsi="Verdana" w:cs="Times New Roman"/>
          <w:sz w:val="24"/>
          <w:szCs w:val="24"/>
        </w:rPr>
        <w:t xml:space="preserve"> em que </w:t>
      </w:r>
      <w:r w:rsidR="00A31E5B">
        <w:rPr>
          <w:rFonts w:ascii="Verdana" w:hAnsi="Verdana" w:cs="Times New Roman"/>
          <w:sz w:val="24"/>
          <w:szCs w:val="24"/>
        </w:rPr>
        <w:t>d</w:t>
      </w:r>
      <w:r w:rsidR="008C7945">
        <w:rPr>
          <w:rFonts w:ascii="Verdana" w:hAnsi="Verdana" w:cs="Times New Roman"/>
          <w:sz w:val="24"/>
          <w:szCs w:val="24"/>
        </w:rPr>
        <w:t>e</w:t>
      </w:r>
      <w:r w:rsidR="00A31E5B">
        <w:rPr>
          <w:rFonts w:ascii="Verdana" w:hAnsi="Verdana" w:cs="Times New Roman"/>
          <w:sz w:val="24"/>
          <w:szCs w:val="24"/>
        </w:rPr>
        <w:t>clarei</w:t>
      </w:r>
      <w:r>
        <w:rPr>
          <w:rFonts w:ascii="Verdana" w:hAnsi="Verdana" w:cs="Times New Roman"/>
          <w:sz w:val="24"/>
          <w:szCs w:val="24"/>
        </w:rPr>
        <w:t>:</w:t>
      </w:r>
    </w:p>
    <w:p w:rsidR="00A77EFC" w:rsidRPr="00616B07" w:rsidRDefault="00616B07" w:rsidP="00616B07">
      <w:pPr>
        <w:spacing w:after="0" w:line="240" w:lineRule="auto"/>
        <w:ind w:left="1134"/>
        <w:jc w:val="both"/>
        <w:rPr>
          <w:rFonts w:ascii="Verdana" w:hAnsi="Verdana" w:cs="Times New Roman"/>
          <w:i/>
          <w:sz w:val="24"/>
          <w:szCs w:val="24"/>
        </w:rPr>
      </w:pPr>
      <w:r w:rsidRPr="00616B07">
        <w:rPr>
          <w:rFonts w:ascii="Verdana" w:hAnsi="Verdana"/>
          <w:i/>
          <w:sz w:val="24"/>
          <w:szCs w:val="24"/>
        </w:rPr>
        <w:t xml:space="preserve">“A reforma política é necessária. Embora eu, pessoalmente, defenda o parlamentarismo desde os bancos acadêmicos, creio que o primeiro passo seria a adoção de cláusula de barreira, com avaliação da performance partidária para a manutenção dos partidos; voto distrital misto, ou seja, metade dos deputados sendo eleitos no distrito e metade por eleições proporcionais; financiamento de campanha sob rígido controle e eliminação de coligações partidárias. </w:t>
      </w:r>
      <w:r w:rsidRPr="00C86C61">
        <w:rPr>
          <w:rFonts w:ascii="Verdana" w:hAnsi="Verdana"/>
          <w:i/>
          <w:sz w:val="24"/>
          <w:szCs w:val="24"/>
          <w:u w:val="single"/>
        </w:rPr>
        <w:t>A reforma previdenciária, embora de impacto a mais longo prazo, é imprescindível. Se não vier, a população que trabalha não terá como sustentar uma população superior de aposentados, no futuro</w:t>
      </w:r>
      <w:r w:rsidRPr="00616B07">
        <w:rPr>
          <w:rFonts w:ascii="Verdana" w:hAnsi="Verdana"/>
          <w:i/>
          <w:sz w:val="24"/>
          <w:szCs w:val="24"/>
        </w:rPr>
        <w:t xml:space="preserve">. A reforma trabalhista, no que concerne à terceirização e às convenções coletivas de trabalho, é relevante para reduzir o desemprego. Quanto à reforma burocrática, temos esperança de que o nosso anteprojeto, que surge de uma Comissão criada pelo próprio Senado com esta finalidade, possa ser aprovada. A reforma tributária não pode esperar mais. Eliminar a guerra fiscal do ICMS e ISS e simplificar a legislação são requisitos básicos, para começar. É de se lembrar que o STF sempre considerou inconstitucional tal prática, sem que os Estados se curvassem, pois editavam novas leis padecendo do mesmo vício, tão logo a lei anterior era declarada violadora da Carta da República. A reforma do Judiciário é importante, visto que a Lei Complementar 35 de 1975 está ultrapassada. </w:t>
      </w:r>
      <w:r w:rsidRPr="00A31E5B">
        <w:rPr>
          <w:rFonts w:ascii="Verdana" w:hAnsi="Verdana"/>
          <w:i/>
          <w:sz w:val="24"/>
          <w:szCs w:val="24"/>
          <w:u w:val="single"/>
        </w:rPr>
        <w:t>Nitidamente, vencer os anticorpos do atraso enquistados no poder e os privilégios que tornaram “direito adquirido” toda a espécie de benesses, é importante</w:t>
      </w:r>
      <w:r w:rsidRPr="00616B07">
        <w:rPr>
          <w:rFonts w:ascii="Verdana" w:hAnsi="Verdana"/>
          <w:i/>
          <w:sz w:val="24"/>
          <w:szCs w:val="24"/>
        </w:rPr>
        <w:t>. Temos que ter condições de competir com os demais países, inclusive com aqueles do contexto latino</w:t>
      </w:r>
      <w:r w:rsidR="00C86C61">
        <w:rPr>
          <w:rFonts w:ascii="Verdana" w:hAnsi="Verdana"/>
          <w:i/>
          <w:sz w:val="24"/>
          <w:szCs w:val="24"/>
        </w:rPr>
        <w:t xml:space="preserve"> </w:t>
      </w:r>
      <w:r w:rsidR="00124307">
        <w:rPr>
          <w:rFonts w:ascii="Verdana" w:hAnsi="Verdana"/>
          <w:i/>
          <w:sz w:val="24"/>
          <w:szCs w:val="24"/>
        </w:rPr>
        <w:t>americano</w:t>
      </w:r>
      <w:r w:rsidRPr="00616B07">
        <w:rPr>
          <w:rFonts w:ascii="Verdana" w:hAnsi="Verdana"/>
          <w:i/>
          <w:sz w:val="24"/>
          <w:szCs w:val="24"/>
        </w:rPr>
        <w:t xml:space="preserve">. Trata-se de tarefa que exige uma </w:t>
      </w:r>
      <w:r w:rsidRPr="00616B07">
        <w:rPr>
          <w:rFonts w:ascii="Verdana" w:hAnsi="Verdana"/>
          <w:i/>
          <w:sz w:val="24"/>
          <w:szCs w:val="24"/>
        </w:rPr>
        <w:lastRenderedPageBreak/>
        <w:t>cruzada cívica da sociedade em aceitar os sacrifícios necessários e dos go</w:t>
      </w:r>
      <w:r w:rsidR="00C86C61">
        <w:rPr>
          <w:rFonts w:ascii="Verdana" w:hAnsi="Verdana"/>
          <w:i/>
          <w:sz w:val="24"/>
          <w:szCs w:val="24"/>
        </w:rPr>
        <w:t xml:space="preserve">vernantes em abrir mão dos </w:t>
      </w:r>
      <w:proofErr w:type="spellStart"/>
      <w:r w:rsidR="00C86C61">
        <w:rPr>
          <w:rFonts w:ascii="Verdana" w:hAnsi="Verdana"/>
          <w:i/>
          <w:sz w:val="24"/>
          <w:szCs w:val="24"/>
        </w:rPr>
        <w:t>auto</w:t>
      </w:r>
      <w:r w:rsidR="00124307">
        <w:rPr>
          <w:rFonts w:ascii="Verdana" w:hAnsi="Verdana"/>
          <w:i/>
          <w:sz w:val="24"/>
          <w:szCs w:val="24"/>
        </w:rPr>
        <w:t>-</w:t>
      </w:r>
      <w:r w:rsidRPr="00616B07">
        <w:rPr>
          <w:rFonts w:ascii="Verdana" w:hAnsi="Verdana"/>
          <w:i/>
          <w:sz w:val="24"/>
          <w:szCs w:val="24"/>
        </w:rPr>
        <w:t>outorgados</w:t>
      </w:r>
      <w:proofErr w:type="spellEnd"/>
      <w:r w:rsidRPr="00616B07">
        <w:rPr>
          <w:rFonts w:ascii="Verdana" w:hAnsi="Verdana"/>
          <w:i/>
          <w:sz w:val="24"/>
          <w:szCs w:val="24"/>
        </w:rPr>
        <w:t xml:space="preserve"> benefícios, sobre reduzir o tamanho da máquina burocrática, nas mais de 5.500 entidades federativas. Afinal, o servidor público deve servir à nação e não dela se servir, assim como o cidadão deve ser considerado como tal, não um objeto da administração, um escravo do poder, um cumpridor de inumeráveis obrigações burocráticas que se multiplicam para justificar a manutenção da máquina. Quanto maior for a burocracia desnecessária, maior será a corrupção. Quanto maior o número de leis inúteis impostas aos novos escravos da gleba em que o povo se transformou, maior o acúmulo de processos penais, em que o Poder Judiciário, o Ministério Público e a Polícia devem intervir, não poucas vezes, confundindo o abuso de autoridade com a busca de justiça. O Brasil precisa ser passado a limpo. As reformas são necessárias, mas a cultura política e da cidadania têm que, de um lado, repelir a manutenção de uma máquina burocrática e esclerosada, e de outro, exercer o seu papel. O país depende não só desse respeito ao direito da cidadania, mas do compromisso dos diversos segmentos sociais para fugir a esta inércia. Estamos em tempo de mudança. De mentalidade e de costumes, na busca de um país de que os nossos filhos possam vir a orgulhar-se no futuro. É o que espero, como um velho advogado, que jamais perdeu a esperança de ver o Brasil como líder mundial, onde a justiça social e a livre iniciativa de braços dados tornem a vida de todos os brasileiros digna de ser admirada no concerto das nações”</w:t>
      </w:r>
      <w:r w:rsidR="00C86C61">
        <w:rPr>
          <w:rFonts w:ascii="Verdana" w:hAnsi="Verdana"/>
          <w:i/>
          <w:sz w:val="24"/>
          <w:szCs w:val="24"/>
        </w:rPr>
        <w:t xml:space="preserve">  (</w:t>
      </w:r>
      <w:r w:rsidR="00382CE6">
        <w:rPr>
          <w:rFonts w:ascii="Verdana" w:hAnsi="Verdana"/>
          <w:i/>
          <w:sz w:val="24"/>
          <w:szCs w:val="24"/>
        </w:rPr>
        <w:t xml:space="preserve">os </w:t>
      </w:r>
      <w:r w:rsidR="00C86C61">
        <w:rPr>
          <w:rFonts w:ascii="Verdana" w:hAnsi="Verdana"/>
          <w:i/>
          <w:sz w:val="24"/>
          <w:szCs w:val="24"/>
        </w:rPr>
        <w:t>grifos</w:t>
      </w:r>
      <w:r w:rsidR="00382CE6">
        <w:rPr>
          <w:rFonts w:ascii="Verdana" w:hAnsi="Verdana"/>
          <w:i/>
          <w:sz w:val="24"/>
          <w:szCs w:val="24"/>
        </w:rPr>
        <w:t xml:space="preserve"> não estão no texto</w:t>
      </w:r>
      <w:r w:rsidR="00C86C61">
        <w:rPr>
          <w:rFonts w:ascii="Verdana" w:hAnsi="Verdana"/>
          <w:i/>
          <w:sz w:val="24"/>
          <w:szCs w:val="24"/>
        </w:rPr>
        <w:t xml:space="preserve">) </w:t>
      </w:r>
      <w:r w:rsidRPr="00616B07">
        <w:rPr>
          <w:rFonts w:ascii="Verdana" w:hAnsi="Verdana"/>
          <w:i/>
          <w:sz w:val="24"/>
          <w:szCs w:val="24"/>
        </w:rPr>
        <w:t xml:space="preserve"> </w:t>
      </w:r>
      <w:r w:rsidRPr="00616B07">
        <w:rPr>
          <w:rStyle w:val="Refdenotaderodap"/>
          <w:rFonts w:ascii="Verdana" w:hAnsi="Verdana"/>
          <w:i/>
          <w:sz w:val="24"/>
          <w:szCs w:val="24"/>
        </w:rPr>
        <w:footnoteReference w:id="18"/>
      </w:r>
      <w:r w:rsidRPr="00616B07">
        <w:rPr>
          <w:rFonts w:ascii="Verdana" w:hAnsi="Verdana"/>
          <w:i/>
          <w:sz w:val="24"/>
          <w:szCs w:val="24"/>
        </w:rPr>
        <w:t>.</w:t>
      </w:r>
    </w:p>
    <w:p w:rsidR="004E7B96" w:rsidRDefault="008C7945"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Estou convencido, p</w:t>
      </w:r>
      <w:r w:rsidR="00616B07">
        <w:rPr>
          <w:rFonts w:ascii="Verdana" w:hAnsi="Verdana" w:cs="Times New Roman"/>
          <w:sz w:val="24"/>
          <w:szCs w:val="24"/>
        </w:rPr>
        <w:t>o</w:t>
      </w:r>
      <w:r>
        <w:rPr>
          <w:rFonts w:ascii="Verdana" w:hAnsi="Verdana" w:cs="Times New Roman"/>
          <w:sz w:val="24"/>
          <w:szCs w:val="24"/>
        </w:rPr>
        <w:t>is</w:t>
      </w:r>
      <w:r w:rsidR="00616B07">
        <w:rPr>
          <w:rFonts w:ascii="Verdana" w:hAnsi="Verdana" w:cs="Times New Roman"/>
          <w:sz w:val="24"/>
          <w:szCs w:val="24"/>
        </w:rPr>
        <w:t>, que reforma tão essencial como a previdenciária</w:t>
      </w:r>
      <w:r>
        <w:rPr>
          <w:rFonts w:ascii="Verdana" w:hAnsi="Verdana" w:cs="Times New Roman"/>
          <w:sz w:val="24"/>
          <w:szCs w:val="24"/>
        </w:rPr>
        <w:t>,</w:t>
      </w:r>
      <w:r w:rsidR="00616B07">
        <w:rPr>
          <w:rFonts w:ascii="Verdana" w:hAnsi="Verdana" w:cs="Times New Roman"/>
          <w:sz w:val="24"/>
          <w:szCs w:val="24"/>
        </w:rPr>
        <w:t xml:space="preserve"> </w:t>
      </w:r>
      <w:r w:rsidR="00C86C61">
        <w:rPr>
          <w:rFonts w:ascii="Verdana" w:hAnsi="Verdana" w:cs="Times New Roman"/>
          <w:sz w:val="24"/>
          <w:szCs w:val="24"/>
        </w:rPr>
        <w:t xml:space="preserve">é fundamental </w:t>
      </w:r>
      <w:r w:rsidR="00616B07">
        <w:rPr>
          <w:rFonts w:ascii="Verdana" w:hAnsi="Verdana" w:cs="Times New Roman"/>
          <w:sz w:val="24"/>
          <w:szCs w:val="24"/>
        </w:rPr>
        <w:t xml:space="preserve">para que </w:t>
      </w:r>
      <w:r>
        <w:rPr>
          <w:rFonts w:ascii="Verdana" w:hAnsi="Verdana" w:cs="Times New Roman"/>
          <w:sz w:val="24"/>
          <w:szCs w:val="24"/>
        </w:rPr>
        <w:t>um</w:t>
      </w:r>
      <w:r w:rsidR="00616B07">
        <w:rPr>
          <w:rFonts w:ascii="Verdana" w:hAnsi="Verdana" w:cs="Times New Roman"/>
          <w:sz w:val="24"/>
          <w:szCs w:val="24"/>
        </w:rPr>
        <w:t xml:space="preserve">a população </w:t>
      </w:r>
      <w:r w:rsidR="00BD39D4">
        <w:rPr>
          <w:rFonts w:ascii="Verdana" w:hAnsi="Verdana" w:cs="Times New Roman"/>
          <w:sz w:val="24"/>
          <w:szCs w:val="24"/>
        </w:rPr>
        <w:t xml:space="preserve">cada vez </w:t>
      </w:r>
      <w:r w:rsidR="00616B07">
        <w:rPr>
          <w:rFonts w:ascii="Verdana" w:hAnsi="Verdana" w:cs="Times New Roman"/>
          <w:sz w:val="24"/>
          <w:szCs w:val="24"/>
        </w:rPr>
        <w:t>maior</w:t>
      </w:r>
      <w:r w:rsidR="00BD39D4">
        <w:rPr>
          <w:rFonts w:ascii="Verdana" w:hAnsi="Verdana" w:cs="Times New Roman"/>
          <w:sz w:val="24"/>
          <w:szCs w:val="24"/>
        </w:rPr>
        <w:t>,</w:t>
      </w:r>
      <w:r w:rsidR="00616B07">
        <w:rPr>
          <w:rFonts w:ascii="Verdana" w:hAnsi="Verdana" w:cs="Times New Roman"/>
          <w:sz w:val="24"/>
          <w:szCs w:val="24"/>
        </w:rPr>
        <w:t xml:space="preserve"> com longevidade crescente e com precoces aposentadorias</w:t>
      </w:r>
      <w:r>
        <w:rPr>
          <w:rFonts w:ascii="Verdana" w:hAnsi="Verdana" w:cs="Times New Roman"/>
          <w:sz w:val="24"/>
          <w:szCs w:val="24"/>
        </w:rPr>
        <w:t>,</w:t>
      </w:r>
      <w:r w:rsidR="00BD39D4">
        <w:rPr>
          <w:rFonts w:ascii="Verdana" w:hAnsi="Verdana" w:cs="Times New Roman"/>
          <w:sz w:val="24"/>
          <w:szCs w:val="24"/>
        </w:rPr>
        <w:t xml:space="preserve"> não seja </w:t>
      </w:r>
      <w:r w:rsidR="00BD39D4">
        <w:rPr>
          <w:rFonts w:ascii="Verdana" w:hAnsi="Verdana" w:cs="Times New Roman"/>
          <w:sz w:val="24"/>
          <w:szCs w:val="24"/>
        </w:rPr>
        <w:lastRenderedPageBreak/>
        <w:t>suste</w:t>
      </w:r>
      <w:r>
        <w:rPr>
          <w:rFonts w:ascii="Verdana" w:hAnsi="Verdana" w:cs="Times New Roman"/>
          <w:sz w:val="24"/>
          <w:szCs w:val="24"/>
        </w:rPr>
        <w:t>ntada por um número cada vez men</w:t>
      </w:r>
      <w:r w:rsidR="00BD39D4">
        <w:rPr>
          <w:rFonts w:ascii="Verdana" w:hAnsi="Verdana" w:cs="Times New Roman"/>
          <w:sz w:val="24"/>
          <w:szCs w:val="24"/>
        </w:rPr>
        <w:t>or de trabalhadores</w:t>
      </w:r>
      <w:r w:rsidR="00616B07">
        <w:rPr>
          <w:rFonts w:ascii="Verdana" w:hAnsi="Verdana" w:cs="Times New Roman"/>
          <w:sz w:val="24"/>
          <w:szCs w:val="24"/>
        </w:rPr>
        <w:t>, o que torna impossível a manutenção do sistema por tempo indefinido. Diria</w:t>
      </w:r>
      <w:r w:rsidR="007E36BD">
        <w:rPr>
          <w:rFonts w:ascii="Verdana" w:hAnsi="Verdana" w:cs="Times New Roman"/>
          <w:sz w:val="24"/>
          <w:szCs w:val="24"/>
        </w:rPr>
        <w:t>,</w:t>
      </w:r>
      <w:r w:rsidR="00616B07">
        <w:rPr>
          <w:rFonts w:ascii="Verdana" w:hAnsi="Verdana" w:cs="Times New Roman"/>
          <w:sz w:val="24"/>
          <w:szCs w:val="24"/>
        </w:rPr>
        <w:t xml:space="preserve"> mesmo</w:t>
      </w:r>
      <w:r w:rsidR="007E36BD">
        <w:rPr>
          <w:rFonts w:ascii="Verdana" w:hAnsi="Verdana" w:cs="Times New Roman"/>
          <w:sz w:val="24"/>
          <w:szCs w:val="24"/>
        </w:rPr>
        <w:t>,</w:t>
      </w:r>
      <w:r w:rsidR="00616B07">
        <w:rPr>
          <w:rFonts w:ascii="Verdana" w:hAnsi="Verdana" w:cs="Times New Roman"/>
          <w:sz w:val="24"/>
          <w:szCs w:val="24"/>
        </w:rPr>
        <w:t xml:space="preserve"> por tempo limitadíssimo</w:t>
      </w:r>
      <w:r w:rsidR="007E36BD">
        <w:rPr>
          <w:rFonts w:ascii="Verdana" w:hAnsi="Verdana" w:cs="Times New Roman"/>
          <w:sz w:val="24"/>
          <w:szCs w:val="24"/>
        </w:rPr>
        <w:t>,</w:t>
      </w:r>
      <w:r w:rsidR="00616B07">
        <w:rPr>
          <w:rFonts w:ascii="Verdana" w:hAnsi="Verdana" w:cs="Times New Roman"/>
          <w:sz w:val="24"/>
          <w:szCs w:val="24"/>
        </w:rPr>
        <w:t xml:space="preserve"> antes de as contas implodirem.</w:t>
      </w:r>
    </w:p>
    <w:p w:rsidR="00616B07" w:rsidRDefault="00616B07"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Não será, todavia, atingi</w:t>
      </w:r>
      <w:r w:rsidR="00BD39D4">
        <w:rPr>
          <w:rFonts w:ascii="Verdana" w:hAnsi="Verdana" w:cs="Times New Roman"/>
          <w:sz w:val="24"/>
          <w:szCs w:val="24"/>
        </w:rPr>
        <w:t>n</w:t>
      </w:r>
      <w:r>
        <w:rPr>
          <w:rFonts w:ascii="Verdana" w:hAnsi="Verdana" w:cs="Times New Roman"/>
          <w:sz w:val="24"/>
          <w:szCs w:val="24"/>
        </w:rPr>
        <w:t xml:space="preserve">do </w:t>
      </w:r>
      <w:r w:rsidR="00BD1BBA">
        <w:rPr>
          <w:rFonts w:ascii="Verdana" w:hAnsi="Verdana" w:cs="Times New Roman"/>
          <w:sz w:val="24"/>
          <w:szCs w:val="24"/>
        </w:rPr>
        <w:t>as instituições sem fins lucrativos, filantrópi</w:t>
      </w:r>
      <w:r w:rsidR="00124307">
        <w:rPr>
          <w:rFonts w:ascii="Verdana" w:hAnsi="Verdana" w:cs="Times New Roman"/>
          <w:sz w:val="24"/>
          <w:szCs w:val="24"/>
        </w:rPr>
        <w:t>cas,</w:t>
      </w:r>
      <w:r w:rsidR="00BD1BBA">
        <w:rPr>
          <w:rFonts w:ascii="Verdana" w:hAnsi="Verdana" w:cs="Times New Roman"/>
          <w:sz w:val="24"/>
          <w:szCs w:val="24"/>
        </w:rPr>
        <w:t xml:space="preserve"> confessionais e comunitárias, que dão um retorno muito maior do que recebem, que se conseguirá solucionar tal problema,</w:t>
      </w:r>
      <w:r w:rsidR="008C7945">
        <w:rPr>
          <w:rFonts w:ascii="Verdana" w:hAnsi="Verdana" w:cs="Times New Roman"/>
          <w:sz w:val="24"/>
          <w:szCs w:val="24"/>
        </w:rPr>
        <w:t xml:space="preserve"> agravando, por outro lado, o c</w:t>
      </w:r>
      <w:r w:rsidR="00BD1BBA">
        <w:rPr>
          <w:rFonts w:ascii="Verdana" w:hAnsi="Verdana" w:cs="Times New Roman"/>
          <w:sz w:val="24"/>
          <w:szCs w:val="24"/>
        </w:rPr>
        <w:t>o</w:t>
      </w:r>
      <w:r w:rsidR="008C7945">
        <w:rPr>
          <w:rFonts w:ascii="Verdana" w:hAnsi="Verdana" w:cs="Times New Roman"/>
          <w:sz w:val="24"/>
          <w:szCs w:val="24"/>
        </w:rPr>
        <w:t xml:space="preserve">tidiano </w:t>
      </w:r>
      <w:r w:rsidR="00BD1BBA">
        <w:rPr>
          <w:rFonts w:ascii="Verdana" w:hAnsi="Verdana" w:cs="Times New Roman"/>
          <w:sz w:val="24"/>
          <w:szCs w:val="24"/>
        </w:rPr>
        <w:t>de tais instituições de que dependem, em grande parte, a educação e a saúde do país.</w:t>
      </w:r>
    </w:p>
    <w:p w:rsidR="00BD1BBA" w:rsidRDefault="00BD1BBA"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Concluo, pois, que não vejo como a PEC 287/16 possa p</w:t>
      </w:r>
      <w:r w:rsidR="007E36BD">
        <w:rPr>
          <w:rFonts w:ascii="Verdana" w:hAnsi="Verdana" w:cs="Times New Roman"/>
          <w:sz w:val="24"/>
          <w:szCs w:val="24"/>
        </w:rPr>
        <w:t>ô</w:t>
      </w:r>
      <w:r>
        <w:rPr>
          <w:rFonts w:ascii="Verdana" w:hAnsi="Verdana" w:cs="Times New Roman"/>
          <w:sz w:val="24"/>
          <w:szCs w:val="24"/>
        </w:rPr>
        <w:t xml:space="preserve">r em risco as imunidades tributárias, </w:t>
      </w:r>
      <w:r w:rsidR="00BD39D4">
        <w:rPr>
          <w:rFonts w:ascii="Verdana" w:hAnsi="Verdana" w:cs="Times New Roman"/>
          <w:sz w:val="24"/>
          <w:szCs w:val="24"/>
        </w:rPr>
        <w:t>poi</w:t>
      </w:r>
      <w:r>
        <w:rPr>
          <w:rFonts w:ascii="Verdana" w:hAnsi="Verdana" w:cs="Times New Roman"/>
          <w:sz w:val="24"/>
          <w:szCs w:val="24"/>
        </w:rPr>
        <w:t>s</w:t>
      </w:r>
      <w:r w:rsidR="00BD39D4">
        <w:rPr>
          <w:rFonts w:ascii="Verdana" w:hAnsi="Verdana" w:cs="Times New Roman"/>
          <w:sz w:val="24"/>
          <w:szCs w:val="24"/>
        </w:rPr>
        <w:t xml:space="preserve"> os artigos chaves que </w:t>
      </w:r>
      <w:r>
        <w:rPr>
          <w:rFonts w:ascii="Verdana" w:hAnsi="Verdana" w:cs="Times New Roman"/>
          <w:sz w:val="24"/>
          <w:szCs w:val="24"/>
        </w:rPr>
        <w:t>autorizam</w:t>
      </w:r>
      <w:r w:rsidR="00BD39D4">
        <w:rPr>
          <w:rFonts w:ascii="Verdana" w:hAnsi="Verdana" w:cs="Times New Roman"/>
          <w:sz w:val="24"/>
          <w:szCs w:val="24"/>
        </w:rPr>
        <w:t xml:space="preserve"> tal reforma não agridem as imunidades</w:t>
      </w:r>
      <w:r>
        <w:rPr>
          <w:rFonts w:ascii="Verdana" w:hAnsi="Verdana" w:cs="Times New Roman"/>
          <w:sz w:val="24"/>
          <w:szCs w:val="24"/>
        </w:rPr>
        <w:t>.</w:t>
      </w:r>
    </w:p>
    <w:p w:rsidR="001F3204" w:rsidRDefault="001F3204" w:rsidP="0000494D">
      <w:pPr>
        <w:spacing w:before="100" w:beforeAutospacing="1" w:after="100" w:afterAutospacing="1" w:line="480" w:lineRule="auto"/>
        <w:jc w:val="both"/>
        <w:rPr>
          <w:rFonts w:ascii="Verdana" w:hAnsi="Verdana" w:cs="Times New Roman"/>
          <w:sz w:val="24"/>
          <w:szCs w:val="24"/>
        </w:rPr>
      </w:pPr>
    </w:p>
    <w:p w:rsidR="00BD1BBA" w:rsidRDefault="00102391"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Minh</w:t>
      </w:r>
      <w:r w:rsidR="00BD1BBA">
        <w:rPr>
          <w:rFonts w:ascii="Verdana" w:hAnsi="Verdana" w:cs="Times New Roman"/>
          <w:sz w:val="24"/>
          <w:szCs w:val="24"/>
        </w:rPr>
        <w:t>a resposta, portanto, é que não v</w:t>
      </w:r>
      <w:r w:rsidR="008C7945">
        <w:rPr>
          <w:rFonts w:ascii="Verdana" w:hAnsi="Verdana" w:cs="Times New Roman"/>
          <w:sz w:val="24"/>
          <w:szCs w:val="24"/>
        </w:rPr>
        <w:t>islumbro qualquer p</w:t>
      </w:r>
      <w:r w:rsidR="00BD1BBA">
        <w:rPr>
          <w:rFonts w:ascii="Verdana" w:hAnsi="Verdana" w:cs="Times New Roman"/>
          <w:sz w:val="24"/>
          <w:szCs w:val="24"/>
        </w:rPr>
        <w:t>e</w:t>
      </w:r>
      <w:r w:rsidR="008C7945">
        <w:rPr>
          <w:rFonts w:ascii="Verdana" w:hAnsi="Verdana" w:cs="Times New Roman"/>
          <w:sz w:val="24"/>
          <w:szCs w:val="24"/>
        </w:rPr>
        <w:t>rigo</w:t>
      </w:r>
      <w:r w:rsidR="00BD1BBA">
        <w:rPr>
          <w:rFonts w:ascii="Verdana" w:hAnsi="Verdana" w:cs="Times New Roman"/>
          <w:sz w:val="24"/>
          <w:szCs w:val="24"/>
        </w:rPr>
        <w:t xml:space="preserve"> de</w:t>
      </w:r>
      <w:r w:rsidR="008C7945">
        <w:rPr>
          <w:rFonts w:ascii="Verdana" w:hAnsi="Verdana" w:cs="Times New Roman"/>
          <w:sz w:val="24"/>
          <w:szCs w:val="24"/>
        </w:rPr>
        <w:t xml:space="preserve"> que</w:t>
      </w:r>
      <w:r w:rsidR="00BD1BBA">
        <w:rPr>
          <w:rFonts w:ascii="Verdana" w:hAnsi="Verdana" w:cs="Times New Roman"/>
          <w:sz w:val="24"/>
          <w:szCs w:val="24"/>
        </w:rPr>
        <w:t xml:space="preserve"> as imunidades tributárias</w:t>
      </w:r>
      <w:r w:rsidR="007E36BD">
        <w:rPr>
          <w:rFonts w:ascii="Verdana" w:hAnsi="Verdana" w:cs="Times New Roman"/>
          <w:sz w:val="24"/>
          <w:szCs w:val="24"/>
        </w:rPr>
        <w:t>, de impostos e de</w:t>
      </w:r>
      <w:r w:rsidR="00BD1BBA">
        <w:rPr>
          <w:rFonts w:ascii="Verdana" w:hAnsi="Verdana" w:cs="Times New Roman"/>
          <w:sz w:val="24"/>
          <w:szCs w:val="24"/>
        </w:rPr>
        <w:t xml:space="preserve"> contribuições sociais</w:t>
      </w:r>
      <w:r w:rsidR="007E36BD">
        <w:rPr>
          <w:rFonts w:ascii="Verdana" w:hAnsi="Verdana" w:cs="Times New Roman"/>
          <w:sz w:val="24"/>
          <w:szCs w:val="24"/>
        </w:rPr>
        <w:t>,</w:t>
      </w:r>
      <w:r w:rsidR="00BD1BBA">
        <w:rPr>
          <w:rFonts w:ascii="Verdana" w:hAnsi="Verdana" w:cs="Times New Roman"/>
          <w:sz w:val="24"/>
          <w:szCs w:val="24"/>
        </w:rPr>
        <w:t xml:space="preserve"> se</w:t>
      </w:r>
      <w:r w:rsidR="008C7945">
        <w:rPr>
          <w:rFonts w:ascii="Verdana" w:hAnsi="Verdana" w:cs="Times New Roman"/>
          <w:sz w:val="24"/>
          <w:szCs w:val="24"/>
        </w:rPr>
        <w:t>ja</w:t>
      </w:r>
      <w:r w:rsidR="00BD1BBA">
        <w:rPr>
          <w:rFonts w:ascii="Verdana" w:hAnsi="Verdana" w:cs="Times New Roman"/>
          <w:sz w:val="24"/>
          <w:szCs w:val="24"/>
        </w:rPr>
        <w:t xml:space="preserve">m retiradas das entidades beneficentes de assistência social que preenchem os requisitos </w:t>
      </w:r>
      <w:r w:rsidR="008C7945">
        <w:rPr>
          <w:rFonts w:ascii="Verdana" w:hAnsi="Verdana" w:cs="Times New Roman"/>
          <w:sz w:val="24"/>
          <w:szCs w:val="24"/>
        </w:rPr>
        <w:t xml:space="preserve">mencionados </w:t>
      </w:r>
      <w:r w:rsidR="007E36BD">
        <w:rPr>
          <w:rFonts w:ascii="Verdana" w:hAnsi="Verdana" w:cs="Times New Roman"/>
          <w:sz w:val="24"/>
          <w:szCs w:val="24"/>
        </w:rPr>
        <w:t xml:space="preserve">na lei complementar, como decidido </w:t>
      </w:r>
      <w:r w:rsidR="008C7945">
        <w:rPr>
          <w:rFonts w:ascii="Verdana" w:hAnsi="Verdana" w:cs="Times New Roman"/>
          <w:sz w:val="24"/>
          <w:szCs w:val="24"/>
        </w:rPr>
        <w:t>n</w:t>
      </w:r>
      <w:r w:rsidR="00BD1BBA">
        <w:rPr>
          <w:rFonts w:ascii="Verdana" w:hAnsi="Verdana" w:cs="Times New Roman"/>
          <w:sz w:val="24"/>
          <w:szCs w:val="24"/>
        </w:rPr>
        <w:t>os processos judiciais citados, independente ou não de certificação oficial</w:t>
      </w:r>
      <w:r w:rsidR="007E36BD">
        <w:rPr>
          <w:rFonts w:ascii="Verdana" w:hAnsi="Verdana" w:cs="Times New Roman"/>
          <w:sz w:val="24"/>
          <w:szCs w:val="24"/>
        </w:rPr>
        <w:t>. De ressaltar que e</w:t>
      </w:r>
      <w:r w:rsidR="00BD1BBA">
        <w:rPr>
          <w:rFonts w:ascii="Verdana" w:hAnsi="Verdana" w:cs="Times New Roman"/>
          <w:sz w:val="24"/>
          <w:szCs w:val="24"/>
        </w:rPr>
        <w:t>sta própria certificação</w:t>
      </w:r>
      <w:r w:rsidR="008C7945">
        <w:rPr>
          <w:rFonts w:ascii="Verdana" w:hAnsi="Verdana" w:cs="Times New Roman"/>
          <w:sz w:val="24"/>
          <w:szCs w:val="24"/>
        </w:rPr>
        <w:t xml:space="preserve"> </w:t>
      </w:r>
      <w:r w:rsidR="007E36BD">
        <w:rPr>
          <w:rFonts w:ascii="Verdana" w:hAnsi="Verdana" w:cs="Times New Roman"/>
          <w:sz w:val="24"/>
          <w:szCs w:val="24"/>
        </w:rPr>
        <w:t xml:space="preserve">estava </w:t>
      </w:r>
      <w:r w:rsidR="007E36BD">
        <w:rPr>
          <w:rFonts w:ascii="Verdana" w:hAnsi="Verdana" w:cs="Times New Roman"/>
          <w:sz w:val="24"/>
          <w:szCs w:val="24"/>
        </w:rPr>
        <w:lastRenderedPageBreak/>
        <w:t xml:space="preserve">prevista </w:t>
      </w:r>
      <w:r w:rsidR="00BD1BBA">
        <w:rPr>
          <w:rFonts w:ascii="Verdana" w:hAnsi="Verdana" w:cs="Times New Roman"/>
          <w:sz w:val="24"/>
          <w:szCs w:val="24"/>
        </w:rPr>
        <w:t xml:space="preserve">em inúmeros dispositivos </w:t>
      </w:r>
      <w:r w:rsidR="007E36BD">
        <w:rPr>
          <w:rFonts w:ascii="Verdana" w:hAnsi="Verdana" w:cs="Times New Roman"/>
          <w:sz w:val="24"/>
          <w:szCs w:val="24"/>
        </w:rPr>
        <w:t xml:space="preserve">ora </w:t>
      </w:r>
      <w:r w:rsidR="0036573D">
        <w:rPr>
          <w:rFonts w:ascii="Verdana" w:hAnsi="Verdana" w:cs="Times New Roman"/>
          <w:sz w:val="24"/>
          <w:szCs w:val="24"/>
        </w:rPr>
        <w:t xml:space="preserve">considerados </w:t>
      </w:r>
      <w:r w:rsidR="00BD39D4">
        <w:rPr>
          <w:rFonts w:ascii="Verdana" w:hAnsi="Verdana" w:cs="Times New Roman"/>
          <w:sz w:val="24"/>
          <w:szCs w:val="24"/>
        </w:rPr>
        <w:t>in</w:t>
      </w:r>
      <w:r w:rsidR="0036573D">
        <w:rPr>
          <w:rFonts w:ascii="Verdana" w:hAnsi="Verdana" w:cs="Times New Roman"/>
          <w:sz w:val="24"/>
          <w:szCs w:val="24"/>
        </w:rPr>
        <w:t>constitucionais</w:t>
      </w:r>
      <w:r w:rsidR="008C7945">
        <w:rPr>
          <w:rFonts w:ascii="Verdana" w:hAnsi="Verdana" w:cs="Times New Roman"/>
          <w:sz w:val="24"/>
          <w:szCs w:val="24"/>
        </w:rPr>
        <w:t>,</w:t>
      </w:r>
      <w:r w:rsidR="0036573D">
        <w:rPr>
          <w:rFonts w:ascii="Verdana" w:hAnsi="Verdana" w:cs="Times New Roman"/>
          <w:sz w:val="24"/>
          <w:szCs w:val="24"/>
        </w:rPr>
        <w:t xml:space="preserve"> o que torna impossível </w:t>
      </w:r>
      <w:r w:rsidR="008C7945">
        <w:rPr>
          <w:rFonts w:ascii="Verdana" w:hAnsi="Verdana" w:cs="Times New Roman"/>
          <w:sz w:val="24"/>
          <w:szCs w:val="24"/>
        </w:rPr>
        <w:t xml:space="preserve">a </w:t>
      </w:r>
      <w:r w:rsidR="0036573D">
        <w:rPr>
          <w:rFonts w:ascii="Verdana" w:hAnsi="Verdana" w:cs="Times New Roman"/>
          <w:sz w:val="24"/>
          <w:szCs w:val="24"/>
        </w:rPr>
        <w:t xml:space="preserve">definição </w:t>
      </w:r>
      <w:r w:rsidR="008C7945">
        <w:rPr>
          <w:rFonts w:ascii="Verdana" w:hAnsi="Verdana" w:cs="Times New Roman"/>
          <w:sz w:val="24"/>
          <w:szCs w:val="24"/>
        </w:rPr>
        <w:t>até mesmo de que como poderá a autoridade certificar</w:t>
      </w:r>
      <w:r>
        <w:rPr>
          <w:rFonts w:ascii="Verdana" w:hAnsi="Verdana" w:cs="Times New Roman"/>
          <w:sz w:val="24"/>
          <w:szCs w:val="24"/>
        </w:rPr>
        <w:t>.</w:t>
      </w:r>
    </w:p>
    <w:p w:rsidR="00102391" w:rsidRDefault="00102391"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Creio que no máximo</w:t>
      </w:r>
      <w:r w:rsidR="008C7945">
        <w:rPr>
          <w:rFonts w:ascii="Verdana" w:hAnsi="Verdana" w:cs="Times New Roman"/>
          <w:sz w:val="24"/>
          <w:szCs w:val="24"/>
        </w:rPr>
        <w:t>, ainda argumentando</w:t>
      </w:r>
      <w:r>
        <w:rPr>
          <w:rFonts w:ascii="Verdana" w:hAnsi="Verdana" w:cs="Times New Roman"/>
          <w:sz w:val="24"/>
          <w:szCs w:val="24"/>
        </w:rPr>
        <w:t xml:space="preserve"> </w:t>
      </w:r>
      <w:r w:rsidR="008C7945">
        <w:rPr>
          <w:rFonts w:ascii="Verdana" w:hAnsi="Verdana" w:cs="Times New Roman"/>
          <w:sz w:val="24"/>
          <w:szCs w:val="24"/>
        </w:rPr>
        <w:t>pelo absurdo, poderia</w:t>
      </w:r>
      <w:r>
        <w:rPr>
          <w:rFonts w:ascii="Verdana" w:hAnsi="Verdana" w:cs="Times New Roman"/>
          <w:sz w:val="24"/>
          <w:szCs w:val="24"/>
        </w:rPr>
        <w:t xml:space="preserve"> </w:t>
      </w:r>
      <w:r w:rsidR="008F098A">
        <w:rPr>
          <w:rFonts w:ascii="Verdana" w:hAnsi="Verdana" w:cs="Times New Roman"/>
          <w:sz w:val="24"/>
          <w:szCs w:val="24"/>
        </w:rPr>
        <w:t>tal certificação</w:t>
      </w:r>
      <w:r w:rsidR="007E36BD">
        <w:rPr>
          <w:rFonts w:ascii="Verdana" w:hAnsi="Verdana" w:cs="Times New Roman"/>
          <w:sz w:val="24"/>
          <w:szCs w:val="24"/>
        </w:rPr>
        <w:t xml:space="preserve"> -</w:t>
      </w:r>
      <w:r w:rsidR="00BD39D4">
        <w:rPr>
          <w:rFonts w:ascii="Verdana" w:hAnsi="Verdana" w:cs="Times New Roman"/>
          <w:sz w:val="24"/>
          <w:szCs w:val="24"/>
        </w:rPr>
        <w:t xml:space="preserve"> que, a meu ver é indevid</w:t>
      </w:r>
      <w:r w:rsidR="007E36BD">
        <w:rPr>
          <w:rFonts w:ascii="Verdana" w:hAnsi="Verdana" w:cs="Times New Roman"/>
          <w:sz w:val="24"/>
          <w:szCs w:val="24"/>
        </w:rPr>
        <w:t>a</w:t>
      </w:r>
      <w:r w:rsidR="00BD39D4">
        <w:rPr>
          <w:rFonts w:ascii="Verdana" w:hAnsi="Verdana" w:cs="Times New Roman"/>
          <w:sz w:val="24"/>
          <w:szCs w:val="24"/>
        </w:rPr>
        <w:t xml:space="preserve"> pelo teor das decisões na ADIN 2028 e seguintes </w:t>
      </w:r>
      <w:r w:rsidR="00BD39D4">
        <w:rPr>
          <w:rStyle w:val="Refdenotaderodap"/>
          <w:rFonts w:ascii="Verdana" w:hAnsi="Verdana" w:cs="Times New Roman"/>
          <w:sz w:val="24"/>
          <w:szCs w:val="24"/>
        </w:rPr>
        <w:footnoteReference w:id="19"/>
      </w:r>
      <w:r w:rsidR="007E36BD">
        <w:rPr>
          <w:rFonts w:ascii="Verdana" w:hAnsi="Verdana" w:cs="Times New Roman"/>
          <w:sz w:val="24"/>
          <w:szCs w:val="24"/>
        </w:rPr>
        <w:t>-</w:t>
      </w:r>
      <w:r w:rsidR="00BD39D4">
        <w:rPr>
          <w:rFonts w:ascii="Verdana" w:hAnsi="Verdana" w:cs="Times New Roman"/>
          <w:sz w:val="24"/>
          <w:szCs w:val="24"/>
        </w:rPr>
        <w:t xml:space="preserve">, </w:t>
      </w:r>
      <w:r w:rsidR="008F098A">
        <w:rPr>
          <w:rFonts w:ascii="Verdana" w:hAnsi="Verdana" w:cs="Times New Roman"/>
          <w:sz w:val="24"/>
          <w:szCs w:val="24"/>
        </w:rPr>
        <w:t xml:space="preserve"> apenas </w:t>
      </w:r>
      <w:r w:rsidR="00BD39D4">
        <w:rPr>
          <w:rFonts w:ascii="Verdana" w:hAnsi="Verdana" w:cs="Times New Roman"/>
          <w:sz w:val="24"/>
          <w:szCs w:val="24"/>
        </w:rPr>
        <w:t>referir-</w:t>
      </w:r>
      <w:r w:rsidR="008F098A">
        <w:rPr>
          <w:rFonts w:ascii="Verdana" w:hAnsi="Verdana" w:cs="Times New Roman"/>
          <w:sz w:val="24"/>
          <w:szCs w:val="24"/>
        </w:rPr>
        <w:t xml:space="preserve">se </w:t>
      </w:r>
      <w:r w:rsidR="00BD39D4">
        <w:rPr>
          <w:rFonts w:ascii="Verdana" w:hAnsi="Verdana" w:cs="Times New Roman"/>
          <w:sz w:val="24"/>
          <w:szCs w:val="24"/>
        </w:rPr>
        <w:t>a</w:t>
      </w:r>
      <w:r w:rsidR="008F098A">
        <w:rPr>
          <w:rFonts w:ascii="Verdana" w:hAnsi="Verdana" w:cs="Times New Roman"/>
          <w:sz w:val="24"/>
          <w:szCs w:val="24"/>
        </w:rPr>
        <w:t>os requisitos do artigo 14 do CTN, assim redigido:</w:t>
      </w:r>
    </w:p>
    <w:p w:rsidR="008F098A" w:rsidRPr="008F098A" w:rsidRDefault="008F098A" w:rsidP="008F098A">
      <w:pPr>
        <w:pStyle w:val="NormalWeb"/>
        <w:spacing w:before="0" w:beforeAutospacing="0" w:after="0" w:afterAutospacing="0"/>
        <w:ind w:left="1134"/>
        <w:jc w:val="both"/>
        <w:rPr>
          <w:rFonts w:ascii="Verdana" w:hAnsi="Verdana"/>
          <w:i/>
        </w:rPr>
      </w:pPr>
      <w:r w:rsidRPr="008F098A">
        <w:rPr>
          <w:rFonts w:ascii="Verdana" w:hAnsi="Verdana" w:cs="Arial"/>
          <w:i/>
        </w:rPr>
        <w:t>“Art. 14. O disposto na alínea c do inciso IV do artigo 9º é subordinado à observância dos seguintes requisitos pelas entidades nele referidas:</w:t>
      </w:r>
    </w:p>
    <w:p w:rsidR="008F098A" w:rsidRPr="008F098A" w:rsidRDefault="008F098A" w:rsidP="008F098A">
      <w:pPr>
        <w:pStyle w:val="NormalWeb"/>
        <w:spacing w:before="0" w:beforeAutospacing="0" w:after="0" w:afterAutospacing="0"/>
        <w:ind w:left="1134"/>
        <w:jc w:val="both"/>
        <w:rPr>
          <w:rFonts w:ascii="Verdana" w:hAnsi="Verdana"/>
          <w:i/>
        </w:rPr>
      </w:pPr>
      <w:bookmarkStart w:id="0" w:name="art14i."/>
      <w:bookmarkStart w:id="1" w:name="art13i"/>
      <w:bookmarkEnd w:id="0"/>
      <w:bookmarkEnd w:id="1"/>
      <w:r w:rsidRPr="008F098A">
        <w:rPr>
          <w:rFonts w:ascii="Verdana" w:hAnsi="Verdana" w:cs="Arial"/>
          <w:i/>
        </w:rPr>
        <w:t>I – não distribuírem qualquer parcela de seu patrimônio ou de suas rendas, a qualquer título;    </w:t>
      </w:r>
      <w:r w:rsidRPr="008F098A">
        <w:rPr>
          <w:rStyle w:val="apple-converted-space"/>
          <w:rFonts w:ascii="Verdana" w:hAnsi="Verdana" w:cs="Arial"/>
          <w:i/>
        </w:rPr>
        <w:t> </w:t>
      </w:r>
      <w:hyperlink r:id="rId11" w:history="1">
        <w:r w:rsidR="0017131B">
          <w:rPr>
            <w:rStyle w:val="Hyperlink"/>
            <w:rFonts w:ascii="Verdana" w:hAnsi="Verdana" w:cs="Arial"/>
            <w:i/>
            <w:color w:val="auto"/>
          </w:rPr>
          <w:t>(Redação dada pela LC</w:t>
        </w:r>
        <w:r w:rsidRPr="008F098A">
          <w:rPr>
            <w:rStyle w:val="Hyperlink"/>
            <w:rFonts w:ascii="Verdana" w:hAnsi="Verdana" w:cs="Arial"/>
            <w:i/>
            <w:color w:val="auto"/>
          </w:rPr>
          <w:t xml:space="preserve"> nº 104, de 2001)</w:t>
        </w:r>
      </w:hyperlink>
    </w:p>
    <w:p w:rsidR="008F098A" w:rsidRPr="008F098A" w:rsidRDefault="008F098A" w:rsidP="008F098A">
      <w:pPr>
        <w:pStyle w:val="NormalWeb"/>
        <w:spacing w:before="0" w:beforeAutospacing="0" w:after="0" w:afterAutospacing="0"/>
        <w:ind w:left="1134"/>
        <w:jc w:val="both"/>
        <w:rPr>
          <w:rFonts w:ascii="Verdana" w:hAnsi="Verdana"/>
          <w:i/>
        </w:rPr>
      </w:pPr>
      <w:bookmarkStart w:id="2" w:name="art13ii"/>
      <w:bookmarkEnd w:id="2"/>
      <w:r w:rsidRPr="008F098A">
        <w:rPr>
          <w:rFonts w:ascii="Verdana" w:hAnsi="Verdana" w:cs="Arial"/>
          <w:i/>
        </w:rPr>
        <w:t>II - aplicarem integralmente, no País, os seus recursos na manutenção dos seus objetivos institucionais;</w:t>
      </w:r>
    </w:p>
    <w:p w:rsidR="008F098A" w:rsidRPr="008F098A" w:rsidRDefault="008F098A" w:rsidP="008F098A">
      <w:pPr>
        <w:pStyle w:val="NormalWeb"/>
        <w:spacing w:before="0" w:beforeAutospacing="0" w:after="0" w:afterAutospacing="0"/>
        <w:ind w:left="1134"/>
        <w:jc w:val="both"/>
        <w:rPr>
          <w:rFonts w:ascii="Verdana" w:hAnsi="Verdana"/>
          <w:i/>
        </w:rPr>
      </w:pPr>
      <w:bookmarkStart w:id="3" w:name="art13iii"/>
      <w:bookmarkEnd w:id="3"/>
      <w:r w:rsidRPr="008F098A">
        <w:rPr>
          <w:rFonts w:ascii="Verdana" w:hAnsi="Verdana" w:cs="Arial"/>
          <w:i/>
        </w:rPr>
        <w:lastRenderedPageBreak/>
        <w:t>III - manterem escrituração de suas receitas e despesas em livros revestidos de formalidades capazes de assegurar sua exatidão.</w:t>
      </w:r>
    </w:p>
    <w:p w:rsidR="008F098A" w:rsidRPr="008F098A" w:rsidRDefault="008F098A" w:rsidP="008F098A">
      <w:pPr>
        <w:pStyle w:val="NormalWeb"/>
        <w:spacing w:before="0" w:beforeAutospacing="0" w:after="0" w:afterAutospacing="0"/>
        <w:ind w:left="1134"/>
        <w:jc w:val="both"/>
        <w:rPr>
          <w:rFonts w:ascii="Verdana" w:hAnsi="Verdana"/>
          <w:i/>
        </w:rPr>
      </w:pPr>
      <w:bookmarkStart w:id="4" w:name="art14§1"/>
      <w:bookmarkEnd w:id="4"/>
      <w:r w:rsidRPr="008F098A">
        <w:rPr>
          <w:rFonts w:ascii="Verdana" w:hAnsi="Verdana" w:cs="Arial"/>
          <w:i/>
        </w:rPr>
        <w:t>§ 1º Na falta de cumprimento do disposto neste artigo, ou no § 1º do artigo 9º, a autoridade competente pode suspender a aplicação do benefício.</w:t>
      </w:r>
    </w:p>
    <w:p w:rsidR="008F098A" w:rsidRDefault="008F098A" w:rsidP="008F098A">
      <w:pPr>
        <w:pStyle w:val="NormalWeb"/>
        <w:spacing w:before="0" w:beforeAutospacing="0" w:after="0" w:afterAutospacing="0"/>
        <w:ind w:left="1134"/>
        <w:jc w:val="both"/>
        <w:rPr>
          <w:color w:val="000000"/>
          <w:sz w:val="20"/>
          <w:szCs w:val="20"/>
        </w:rPr>
      </w:pPr>
      <w:bookmarkStart w:id="5" w:name="art14§2"/>
      <w:bookmarkEnd w:id="5"/>
      <w:r w:rsidRPr="008F098A">
        <w:rPr>
          <w:rFonts w:ascii="Verdana" w:hAnsi="Verdana" w:cs="Arial"/>
          <w:i/>
        </w:rPr>
        <w:t>§ 2º Os serviços a que se refere a alínea c do inciso IV do artigo 9º são exclusivamente, os diretamente relacionados com os objetivos institucionais das entidades de que trata este artigo, previstos nos respectivos estatutos ou atos constitutivos”</w:t>
      </w:r>
      <w:r>
        <w:rPr>
          <w:rFonts w:ascii="Verdana" w:hAnsi="Verdana" w:cs="Arial"/>
          <w:i/>
        </w:rPr>
        <w:t xml:space="preserve"> </w:t>
      </w:r>
      <w:r>
        <w:rPr>
          <w:rStyle w:val="Refdenotaderodap"/>
          <w:rFonts w:ascii="Verdana" w:hAnsi="Verdana" w:cs="Arial"/>
          <w:i/>
        </w:rPr>
        <w:footnoteReference w:id="20"/>
      </w:r>
      <w:r w:rsidR="00E47B1E">
        <w:rPr>
          <w:rFonts w:ascii="Verdana" w:hAnsi="Verdana" w:cs="Arial"/>
          <w:i/>
        </w:rPr>
        <w:t>.</w:t>
      </w:r>
    </w:p>
    <w:p w:rsidR="008F098A" w:rsidRDefault="00E47B1E"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lastRenderedPageBreak/>
        <w:t xml:space="preserve">Isto é, se </w:t>
      </w:r>
      <w:r w:rsidR="007E36BD">
        <w:rPr>
          <w:rFonts w:ascii="Verdana" w:hAnsi="Verdana" w:cs="Times New Roman"/>
          <w:sz w:val="24"/>
          <w:szCs w:val="24"/>
        </w:rPr>
        <w:t>a</w:t>
      </w:r>
      <w:r w:rsidR="005F3D66">
        <w:rPr>
          <w:rFonts w:ascii="Verdana" w:hAnsi="Verdana" w:cs="Times New Roman"/>
          <w:sz w:val="24"/>
          <w:szCs w:val="24"/>
        </w:rPr>
        <w:t xml:space="preserve">tendidos </w:t>
      </w:r>
      <w:r w:rsidR="008C7945">
        <w:rPr>
          <w:rFonts w:ascii="Verdana" w:hAnsi="Verdana" w:cs="Times New Roman"/>
          <w:sz w:val="24"/>
          <w:szCs w:val="24"/>
        </w:rPr>
        <w:t>tais r</w:t>
      </w:r>
      <w:r w:rsidR="005F3D66">
        <w:rPr>
          <w:rFonts w:ascii="Verdana" w:hAnsi="Verdana" w:cs="Times New Roman"/>
          <w:sz w:val="24"/>
          <w:szCs w:val="24"/>
        </w:rPr>
        <w:t>e</w:t>
      </w:r>
      <w:r w:rsidR="008C7945">
        <w:rPr>
          <w:rFonts w:ascii="Verdana" w:hAnsi="Verdana" w:cs="Times New Roman"/>
          <w:sz w:val="24"/>
          <w:szCs w:val="24"/>
        </w:rPr>
        <w:t xml:space="preserve">quisitos </w:t>
      </w:r>
      <w:r w:rsidR="00C758C2">
        <w:rPr>
          <w:rFonts w:ascii="Verdana" w:hAnsi="Verdana" w:cs="Times New Roman"/>
          <w:sz w:val="24"/>
          <w:szCs w:val="24"/>
        </w:rPr>
        <w:t xml:space="preserve">pelas instituições filantrópicas, comunitárias e confessionais, sem fins lucrativos, </w:t>
      </w:r>
      <w:r w:rsidR="005F3D66">
        <w:rPr>
          <w:rFonts w:ascii="Verdana" w:hAnsi="Verdana" w:cs="Times New Roman"/>
          <w:sz w:val="24"/>
          <w:szCs w:val="24"/>
        </w:rPr>
        <w:t>não haverá como neg</w:t>
      </w:r>
      <w:r w:rsidR="00C758C2">
        <w:rPr>
          <w:rFonts w:ascii="Verdana" w:hAnsi="Verdana" w:cs="Times New Roman"/>
          <w:sz w:val="24"/>
          <w:szCs w:val="24"/>
        </w:rPr>
        <w:t>ar</w:t>
      </w:r>
      <w:r w:rsidR="005F3D66">
        <w:rPr>
          <w:rFonts w:ascii="Verdana" w:hAnsi="Verdana" w:cs="Times New Roman"/>
          <w:sz w:val="24"/>
          <w:szCs w:val="24"/>
        </w:rPr>
        <w:t>-l</w:t>
      </w:r>
      <w:r w:rsidR="00C758C2">
        <w:rPr>
          <w:rFonts w:ascii="Verdana" w:hAnsi="Verdana" w:cs="Times New Roman"/>
          <w:sz w:val="24"/>
          <w:szCs w:val="24"/>
        </w:rPr>
        <w:t>he</w:t>
      </w:r>
      <w:r w:rsidR="007E36BD">
        <w:rPr>
          <w:rFonts w:ascii="Verdana" w:hAnsi="Verdana" w:cs="Times New Roman"/>
          <w:sz w:val="24"/>
          <w:szCs w:val="24"/>
        </w:rPr>
        <w:t>s</w:t>
      </w:r>
      <w:r w:rsidR="00C758C2">
        <w:rPr>
          <w:rFonts w:ascii="Verdana" w:hAnsi="Verdana" w:cs="Times New Roman"/>
          <w:sz w:val="24"/>
          <w:szCs w:val="24"/>
        </w:rPr>
        <w:t xml:space="preserve"> o direito de gozo das imunidades. E </w:t>
      </w:r>
      <w:r w:rsidR="007E36BD">
        <w:rPr>
          <w:rFonts w:ascii="Verdana" w:hAnsi="Verdana" w:cs="Times New Roman"/>
          <w:sz w:val="24"/>
          <w:szCs w:val="24"/>
        </w:rPr>
        <w:t>a omissão da autoridade ou a d</w:t>
      </w:r>
      <w:r>
        <w:rPr>
          <w:rFonts w:ascii="Verdana" w:hAnsi="Verdana" w:cs="Times New Roman"/>
          <w:sz w:val="24"/>
          <w:szCs w:val="24"/>
        </w:rPr>
        <w:t xml:space="preserve">emora </w:t>
      </w:r>
      <w:r w:rsidR="007E36BD">
        <w:rPr>
          <w:rFonts w:ascii="Verdana" w:hAnsi="Verdana" w:cs="Times New Roman"/>
          <w:sz w:val="24"/>
          <w:szCs w:val="24"/>
        </w:rPr>
        <w:t xml:space="preserve">em expedir </w:t>
      </w:r>
      <w:r>
        <w:rPr>
          <w:rFonts w:ascii="Verdana" w:hAnsi="Verdana" w:cs="Times New Roman"/>
          <w:sz w:val="24"/>
          <w:szCs w:val="24"/>
        </w:rPr>
        <w:t xml:space="preserve">a </w:t>
      </w:r>
      <w:r w:rsidR="007E36BD">
        <w:rPr>
          <w:rFonts w:ascii="Verdana" w:hAnsi="Verdana" w:cs="Times New Roman"/>
          <w:sz w:val="24"/>
          <w:szCs w:val="24"/>
        </w:rPr>
        <w:t xml:space="preserve">certificação </w:t>
      </w:r>
      <w:r>
        <w:rPr>
          <w:rFonts w:ascii="Verdana" w:hAnsi="Verdana" w:cs="Times New Roman"/>
          <w:sz w:val="24"/>
          <w:szCs w:val="24"/>
        </w:rPr>
        <w:t>não pode</w:t>
      </w:r>
      <w:r w:rsidR="005F3D66">
        <w:rPr>
          <w:rFonts w:ascii="Verdana" w:hAnsi="Verdana" w:cs="Times New Roman"/>
          <w:sz w:val="24"/>
          <w:szCs w:val="24"/>
        </w:rPr>
        <w:t xml:space="preserve"> gerar impli</w:t>
      </w:r>
      <w:r w:rsidR="00C758C2">
        <w:rPr>
          <w:rFonts w:ascii="Verdana" w:hAnsi="Verdana" w:cs="Times New Roman"/>
          <w:sz w:val="24"/>
          <w:szCs w:val="24"/>
        </w:rPr>
        <w:t>ca</w:t>
      </w:r>
      <w:r w:rsidR="007E36BD">
        <w:rPr>
          <w:rFonts w:ascii="Verdana" w:hAnsi="Verdana" w:cs="Times New Roman"/>
          <w:sz w:val="24"/>
          <w:szCs w:val="24"/>
        </w:rPr>
        <w:t xml:space="preserve">r a exigência de </w:t>
      </w:r>
      <w:r w:rsidR="005F3D66">
        <w:rPr>
          <w:rFonts w:ascii="Verdana" w:hAnsi="Verdana" w:cs="Times New Roman"/>
          <w:sz w:val="24"/>
          <w:szCs w:val="24"/>
        </w:rPr>
        <w:t>tributo.</w:t>
      </w:r>
    </w:p>
    <w:p w:rsidR="005F3D66" w:rsidRDefault="005F3D66"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 xml:space="preserve">É que a certificação não representa </w:t>
      </w:r>
      <w:r w:rsidRPr="005F3D66">
        <w:rPr>
          <w:rFonts w:ascii="Verdana" w:hAnsi="Verdana" w:cs="Times New Roman"/>
          <w:sz w:val="24"/>
          <w:szCs w:val="24"/>
          <w:u w:val="single"/>
        </w:rPr>
        <w:t>concessão</w:t>
      </w:r>
      <w:r>
        <w:rPr>
          <w:rFonts w:ascii="Verdana" w:hAnsi="Verdana" w:cs="Times New Roman"/>
          <w:sz w:val="24"/>
          <w:szCs w:val="24"/>
        </w:rPr>
        <w:t xml:space="preserve"> d</w:t>
      </w:r>
      <w:r w:rsidR="007E36BD">
        <w:rPr>
          <w:rFonts w:ascii="Verdana" w:hAnsi="Verdana" w:cs="Times New Roman"/>
          <w:sz w:val="24"/>
          <w:szCs w:val="24"/>
        </w:rPr>
        <w:t>a</w:t>
      </w:r>
      <w:r>
        <w:rPr>
          <w:rFonts w:ascii="Verdana" w:hAnsi="Verdana" w:cs="Times New Roman"/>
          <w:sz w:val="24"/>
          <w:szCs w:val="24"/>
        </w:rPr>
        <w:t xml:space="preserve"> imunidade, mas apenas </w:t>
      </w:r>
      <w:r w:rsidRPr="005F3D66">
        <w:rPr>
          <w:rFonts w:ascii="Verdana" w:hAnsi="Verdana" w:cs="Times New Roman"/>
          <w:sz w:val="24"/>
          <w:szCs w:val="24"/>
          <w:u w:val="single"/>
        </w:rPr>
        <w:t>reconhecimento</w:t>
      </w:r>
      <w:r>
        <w:rPr>
          <w:rFonts w:ascii="Verdana" w:hAnsi="Verdana" w:cs="Times New Roman"/>
          <w:sz w:val="24"/>
          <w:szCs w:val="24"/>
        </w:rPr>
        <w:t xml:space="preserve"> dela</w:t>
      </w:r>
      <w:r w:rsidR="007E36BD">
        <w:rPr>
          <w:rFonts w:ascii="Verdana" w:hAnsi="Verdana" w:cs="Times New Roman"/>
          <w:sz w:val="24"/>
          <w:szCs w:val="24"/>
        </w:rPr>
        <w:t>. V</w:t>
      </w:r>
      <w:r>
        <w:rPr>
          <w:rFonts w:ascii="Verdana" w:hAnsi="Verdana" w:cs="Times New Roman"/>
          <w:sz w:val="24"/>
          <w:szCs w:val="24"/>
        </w:rPr>
        <w:t>ale dizer</w:t>
      </w:r>
      <w:r w:rsidR="007E36BD">
        <w:rPr>
          <w:rFonts w:ascii="Verdana" w:hAnsi="Verdana" w:cs="Times New Roman"/>
          <w:sz w:val="24"/>
          <w:szCs w:val="24"/>
        </w:rPr>
        <w:t>,</w:t>
      </w:r>
      <w:r>
        <w:rPr>
          <w:rFonts w:ascii="Verdana" w:hAnsi="Verdana" w:cs="Times New Roman"/>
          <w:sz w:val="24"/>
          <w:szCs w:val="24"/>
        </w:rPr>
        <w:t xml:space="preserve"> tal reconhecimento terá sempre eficácia “</w:t>
      </w:r>
      <w:proofErr w:type="spellStart"/>
      <w:r>
        <w:rPr>
          <w:rFonts w:ascii="Verdana" w:hAnsi="Verdana" w:cs="Times New Roman"/>
          <w:sz w:val="24"/>
          <w:szCs w:val="24"/>
        </w:rPr>
        <w:t>ex</w:t>
      </w:r>
      <w:proofErr w:type="spellEnd"/>
      <w:r>
        <w:rPr>
          <w:rFonts w:ascii="Verdana" w:hAnsi="Verdana" w:cs="Times New Roman"/>
          <w:sz w:val="24"/>
          <w:szCs w:val="24"/>
        </w:rPr>
        <w:t xml:space="preserve"> </w:t>
      </w:r>
      <w:proofErr w:type="spellStart"/>
      <w:r>
        <w:rPr>
          <w:rFonts w:ascii="Verdana" w:hAnsi="Verdana" w:cs="Times New Roman"/>
          <w:sz w:val="24"/>
          <w:szCs w:val="24"/>
        </w:rPr>
        <w:t>tunc</w:t>
      </w:r>
      <w:proofErr w:type="spellEnd"/>
      <w:r>
        <w:rPr>
          <w:rFonts w:ascii="Verdana" w:hAnsi="Verdana" w:cs="Times New Roman"/>
          <w:sz w:val="24"/>
          <w:szCs w:val="24"/>
        </w:rPr>
        <w:t>”.</w:t>
      </w:r>
    </w:p>
    <w:p w:rsidR="00A31E5B" w:rsidRDefault="00A31E5B" w:rsidP="0000494D">
      <w:pPr>
        <w:spacing w:before="100" w:beforeAutospacing="1" w:after="100" w:afterAutospacing="1" w:line="480" w:lineRule="auto"/>
        <w:jc w:val="both"/>
        <w:rPr>
          <w:rFonts w:ascii="Verdana" w:hAnsi="Verdana" w:cs="Times New Roman"/>
          <w:sz w:val="24"/>
          <w:szCs w:val="24"/>
        </w:rPr>
      </w:pPr>
      <w:r>
        <w:rPr>
          <w:rFonts w:ascii="Verdana" w:hAnsi="Verdana" w:cs="Times New Roman"/>
          <w:sz w:val="24"/>
          <w:szCs w:val="24"/>
        </w:rPr>
        <w:t>Em resumo, a PEC 287/2016 não coloca</w:t>
      </w:r>
      <w:r w:rsidR="00E759FF">
        <w:rPr>
          <w:rFonts w:ascii="Verdana" w:hAnsi="Verdana" w:cs="Times New Roman"/>
          <w:sz w:val="24"/>
          <w:szCs w:val="24"/>
        </w:rPr>
        <w:t xml:space="preserve"> em risco o gozo das imunidades constitucionais previstas no artigo 195, § 7º, e qualquer eventual emenda que pretenda </w:t>
      </w:r>
      <w:proofErr w:type="spellStart"/>
      <w:r w:rsidR="00E759FF">
        <w:rPr>
          <w:rFonts w:ascii="Verdana" w:hAnsi="Verdana" w:cs="Times New Roman"/>
          <w:sz w:val="24"/>
          <w:szCs w:val="24"/>
        </w:rPr>
        <w:t>suprimí-las</w:t>
      </w:r>
      <w:proofErr w:type="spellEnd"/>
      <w:r w:rsidR="00E759FF">
        <w:rPr>
          <w:rFonts w:ascii="Verdana" w:hAnsi="Verdana" w:cs="Times New Roman"/>
          <w:sz w:val="24"/>
          <w:szCs w:val="24"/>
        </w:rPr>
        <w:t xml:space="preserve"> seria inconstitucional, por violadora da cláusula pétrea expressa no artigo 60, § 4º, inciso IV, da Carta da República.</w:t>
      </w:r>
    </w:p>
    <w:p w:rsidR="00E47B1E" w:rsidRDefault="007E36BD" w:rsidP="00E47B1E">
      <w:pPr>
        <w:spacing w:after="0" w:line="240" w:lineRule="auto"/>
        <w:jc w:val="both"/>
        <w:rPr>
          <w:rFonts w:ascii="Verdana" w:hAnsi="Verdana" w:cs="Times New Roman"/>
          <w:sz w:val="24"/>
          <w:szCs w:val="24"/>
        </w:rPr>
      </w:pPr>
      <w:r>
        <w:rPr>
          <w:rFonts w:ascii="Verdana" w:hAnsi="Verdana" w:cs="Times New Roman"/>
          <w:sz w:val="24"/>
          <w:szCs w:val="24"/>
        </w:rPr>
        <w:t>É</w:t>
      </w:r>
      <w:r w:rsidR="00E47B1E">
        <w:rPr>
          <w:rFonts w:ascii="Verdana" w:hAnsi="Verdana" w:cs="Times New Roman"/>
          <w:sz w:val="24"/>
          <w:szCs w:val="24"/>
        </w:rPr>
        <w:t xml:space="preserve"> o que me cabe</w:t>
      </w:r>
      <w:r w:rsidR="005F3D66">
        <w:rPr>
          <w:rFonts w:ascii="Verdana" w:hAnsi="Verdana" w:cs="Times New Roman"/>
          <w:sz w:val="24"/>
          <w:szCs w:val="24"/>
        </w:rPr>
        <w:t xml:space="preserve"> responder ao único quesito formulado.</w:t>
      </w:r>
      <w:r w:rsidR="005F3D66">
        <w:rPr>
          <w:rFonts w:ascii="Verdana" w:hAnsi="Verdana" w:cs="Times New Roman"/>
          <w:sz w:val="24"/>
          <w:szCs w:val="24"/>
        </w:rPr>
        <w:tab/>
      </w:r>
      <w:r w:rsidR="005F3D66">
        <w:rPr>
          <w:rFonts w:ascii="Verdana" w:hAnsi="Verdana" w:cs="Times New Roman"/>
          <w:sz w:val="24"/>
          <w:szCs w:val="24"/>
        </w:rPr>
        <w:tab/>
      </w:r>
      <w:r w:rsidR="005F3D66">
        <w:rPr>
          <w:rFonts w:ascii="Verdana" w:hAnsi="Verdana" w:cs="Times New Roman"/>
          <w:sz w:val="24"/>
          <w:szCs w:val="24"/>
        </w:rPr>
        <w:tab/>
      </w:r>
      <w:r w:rsidR="00E47B1E">
        <w:rPr>
          <w:rFonts w:ascii="Verdana" w:hAnsi="Verdana" w:cs="Times New Roman"/>
          <w:sz w:val="24"/>
          <w:szCs w:val="24"/>
        </w:rPr>
        <w:tab/>
      </w:r>
      <w:r w:rsidR="00E47B1E">
        <w:rPr>
          <w:rFonts w:ascii="Verdana" w:hAnsi="Verdana" w:cs="Times New Roman"/>
          <w:sz w:val="24"/>
          <w:szCs w:val="24"/>
        </w:rPr>
        <w:tab/>
      </w:r>
      <w:r w:rsidR="00E47B1E">
        <w:rPr>
          <w:rFonts w:ascii="Verdana" w:hAnsi="Verdana" w:cs="Times New Roman"/>
          <w:sz w:val="24"/>
          <w:szCs w:val="24"/>
        </w:rPr>
        <w:tab/>
      </w:r>
      <w:r w:rsidR="006C7BB5" w:rsidRPr="008F2253">
        <w:rPr>
          <w:rFonts w:ascii="Verdana" w:hAnsi="Verdana" w:cs="Times New Roman"/>
          <w:sz w:val="24"/>
          <w:szCs w:val="24"/>
        </w:rPr>
        <w:tab/>
      </w:r>
      <w:r w:rsidR="006C7BB5" w:rsidRPr="008F2253">
        <w:rPr>
          <w:rFonts w:ascii="Verdana" w:hAnsi="Verdana" w:cs="Times New Roman"/>
          <w:sz w:val="24"/>
          <w:szCs w:val="24"/>
        </w:rPr>
        <w:tab/>
      </w:r>
      <w:r w:rsidR="006C7BB5" w:rsidRPr="008F2253">
        <w:rPr>
          <w:rFonts w:ascii="Verdana" w:hAnsi="Verdana" w:cs="Times New Roman"/>
          <w:sz w:val="24"/>
          <w:szCs w:val="24"/>
        </w:rPr>
        <w:tab/>
      </w:r>
    </w:p>
    <w:p w:rsidR="006C7BB5" w:rsidRDefault="006C7BB5" w:rsidP="00E47B1E">
      <w:pPr>
        <w:spacing w:after="0" w:line="240" w:lineRule="auto"/>
        <w:ind w:left="2832" w:firstLine="1416"/>
        <w:jc w:val="both"/>
        <w:rPr>
          <w:rFonts w:ascii="Verdana" w:hAnsi="Verdana" w:cs="Times New Roman"/>
          <w:sz w:val="24"/>
          <w:szCs w:val="24"/>
        </w:rPr>
      </w:pPr>
      <w:r w:rsidRPr="008F2253">
        <w:rPr>
          <w:rFonts w:ascii="Verdana" w:hAnsi="Verdana" w:cs="Times New Roman"/>
          <w:sz w:val="24"/>
          <w:szCs w:val="24"/>
        </w:rPr>
        <w:t>S.M.J.</w:t>
      </w:r>
    </w:p>
    <w:p w:rsidR="00051464" w:rsidRPr="008F2253" w:rsidRDefault="00051464" w:rsidP="00E47B1E">
      <w:pPr>
        <w:spacing w:after="0" w:line="240" w:lineRule="auto"/>
        <w:ind w:left="2832" w:firstLine="1416"/>
        <w:jc w:val="both"/>
        <w:rPr>
          <w:rFonts w:ascii="Verdana" w:hAnsi="Verdana" w:cs="Times New Roman"/>
          <w:sz w:val="24"/>
          <w:szCs w:val="24"/>
        </w:rPr>
      </w:pPr>
    </w:p>
    <w:p w:rsidR="00CB0D51" w:rsidRDefault="00CB0D51" w:rsidP="00E47B1E">
      <w:pPr>
        <w:spacing w:after="0" w:line="240" w:lineRule="auto"/>
        <w:ind w:firstLine="708"/>
        <w:jc w:val="both"/>
        <w:rPr>
          <w:rFonts w:ascii="Verdana" w:hAnsi="Verdana" w:cs="Times New Roman"/>
          <w:sz w:val="24"/>
          <w:szCs w:val="24"/>
        </w:rPr>
      </w:pPr>
      <w:r w:rsidRPr="008F2253">
        <w:rPr>
          <w:rFonts w:ascii="Verdana" w:hAnsi="Verdana" w:cs="Times New Roman"/>
          <w:sz w:val="24"/>
          <w:szCs w:val="24"/>
        </w:rPr>
        <w:tab/>
      </w:r>
      <w:r w:rsidRPr="008F2253">
        <w:rPr>
          <w:rFonts w:ascii="Verdana" w:hAnsi="Verdana" w:cs="Times New Roman"/>
          <w:sz w:val="24"/>
          <w:szCs w:val="24"/>
        </w:rPr>
        <w:tab/>
      </w:r>
      <w:r w:rsidRPr="008F2253">
        <w:rPr>
          <w:rFonts w:ascii="Verdana" w:hAnsi="Verdana" w:cs="Times New Roman"/>
          <w:sz w:val="24"/>
          <w:szCs w:val="24"/>
        </w:rPr>
        <w:tab/>
      </w:r>
      <w:r w:rsidR="00E759FF">
        <w:rPr>
          <w:rFonts w:ascii="Verdana" w:hAnsi="Verdana" w:cs="Times New Roman"/>
          <w:sz w:val="24"/>
          <w:szCs w:val="24"/>
        </w:rPr>
        <w:t>São Paulo, 22</w:t>
      </w:r>
      <w:r w:rsidRPr="008F2253">
        <w:rPr>
          <w:rFonts w:ascii="Verdana" w:hAnsi="Verdana" w:cs="Times New Roman"/>
          <w:sz w:val="24"/>
          <w:szCs w:val="24"/>
        </w:rPr>
        <w:t xml:space="preserve"> de Março de 2017.</w:t>
      </w:r>
    </w:p>
    <w:p w:rsidR="00E47B1E" w:rsidRDefault="00E47B1E" w:rsidP="00E47B1E">
      <w:pPr>
        <w:spacing w:after="0" w:line="240" w:lineRule="auto"/>
        <w:ind w:firstLine="708"/>
        <w:jc w:val="both"/>
        <w:rPr>
          <w:rFonts w:ascii="Verdana" w:hAnsi="Verdana" w:cs="Times New Roman"/>
          <w:sz w:val="24"/>
          <w:szCs w:val="24"/>
        </w:rPr>
      </w:pPr>
    </w:p>
    <w:p w:rsidR="00E47B1E" w:rsidRPr="008F2253" w:rsidRDefault="00E47B1E" w:rsidP="00E47B1E">
      <w:pPr>
        <w:spacing w:after="0" w:line="240" w:lineRule="auto"/>
        <w:ind w:firstLine="708"/>
        <w:jc w:val="both"/>
        <w:rPr>
          <w:rFonts w:ascii="Verdana" w:hAnsi="Verdana" w:cs="Times New Roman"/>
          <w:sz w:val="24"/>
          <w:szCs w:val="24"/>
        </w:rPr>
      </w:pPr>
    </w:p>
    <w:p w:rsidR="00E47B1E" w:rsidRDefault="006C7BB5" w:rsidP="00E47B1E">
      <w:pPr>
        <w:spacing w:before="100" w:beforeAutospacing="1" w:after="100" w:afterAutospacing="1" w:line="480" w:lineRule="auto"/>
        <w:ind w:firstLine="708"/>
        <w:jc w:val="both"/>
        <w:rPr>
          <w:rFonts w:ascii="Verdana" w:hAnsi="Verdana" w:cs="Times New Roman"/>
          <w:b/>
          <w:sz w:val="24"/>
          <w:szCs w:val="24"/>
        </w:rPr>
      </w:pPr>
      <w:r w:rsidRPr="008F2253">
        <w:rPr>
          <w:rFonts w:ascii="Verdana" w:hAnsi="Verdana" w:cs="Times New Roman"/>
          <w:sz w:val="24"/>
          <w:szCs w:val="24"/>
        </w:rPr>
        <w:tab/>
      </w:r>
      <w:r w:rsidRPr="008F2253">
        <w:rPr>
          <w:rFonts w:ascii="Verdana" w:hAnsi="Verdana" w:cs="Times New Roman"/>
          <w:sz w:val="24"/>
          <w:szCs w:val="24"/>
        </w:rPr>
        <w:tab/>
      </w:r>
      <w:r w:rsidRPr="008F2253">
        <w:rPr>
          <w:rFonts w:ascii="Verdana" w:hAnsi="Verdana" w:cs="Times New Roman"/>
          <w:b/>
          <w:sz w:val="24"/>
          <w:szCs w:val="24"/>
        </w:rPr>
        <w:tab/>
        <w:t>IVES GANDRA DA SILVA MARTINS</w:t>
      </w:r>
      <w:bookmarkStart w:id="6" w:name="_GoBack"/>
      <w:bookmarkEnd w:id="6"/>
    </w:p>
    <w:sectPr w:rsidR="00E47B1E">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22B" w:rsidRDefault="00B0022B" w:rsidP="00604C63">
      <w:pPr>
        <w:spacing w:after="0" w:line="240" w:lineRule="auto"/>
      </w:pPr>
      <w:r>
        <w:separator/>
      </w:r>
    </w:p>
  </w:endnote>
  <w:endnote w:type="continuationSeparator" w:id="0">
    <w:p w:rsidR="00B0022B" w:rsidRDefault="00B0022B" w:rsidP="00604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960982"/>
      <w:docPartObj>
        <w:docPartGallery w:val="Page Numbers (Bottom of Page)"/>
        <w:docPartUnique/>
      </w:docPartObj>
    </w:sdtPr>
    <w:sdtEndPr/>
    <w:sdtContent>
      <w:p w:rsidR="00BD39D4" w:rsidRDefault="00BD39D4">
        <w:pPr>
          <w:pStyle w:val="Rodap"/>
          <w:jc w:val="center"/>
        </w:pPr>
        <w:r>
          <w:fldChar w:fldCharType="begin"/>
        </w:r>
        <w:r>
          <w:instrText>PAGE   \* MERGEFORMAT</w:instrText>
        </w:r>
        <w:r>
          <w:fldChar w:fldCharType="separate"/>
        </w:r>
        <w:r w:rsidR="001A47F2">
          <w:rPr>
            <w:noProof/>
          </w:rPr>
          <w:t>37</w:t>
        </w:r>
        <w:r>
          <w:fldChar w:fldCharType="end"/>
        </w:r>
      </w:p>
    </w:sdtContent>
  </w:sdt>
  <w:p w:rsidR="00BD39D4" w:rsidRDefault="00BD39D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22B" w:rsidRDefault="00B0022B" w:rsidP="00604C63">
      <w:pPr>
        <w:spacing w:after="0" w:line="240" w:lineRule="auto"/>
      </w:pPr>
      <w:r>
        <w:separator/>
      </w:r>
    </w:p>
  </w:footnote>
  <w:footnote w:type="continuationSeparator" w:id="0">
    <w:p w:rsidR="00B0022B" w:rsidRDefault="00B0022B" w:rsidP="00604C63">
      <w:pPr>
        <w:spacing w:after="0" w:line="240" w:lineRule="auto"/>
      </w:pPr>
      <w:r>
        <w:continuationSeparator/>
      </w:r>
    </w:p>
  </w:footnote>
  <w:footnote w:id="1">
    <w:p w:rsidR="00BD39D4" w:rsidRPr="00243E98" w:rsidRDefault="00BD39D4" w:rsidP="00243E98">
      <w:pPr>
        <w:pStyle w:val="Textodenotaderodap"/>
        <w:jc w:val="both"/>
        <w:rPr>
          <w:rFonts w:ascii="Verdana" w:hAnsi="Verdana"/>
          <w:sz w:val="24"/>
          <w:szCs w:val="24"/>
        </w:rPr>
      </w:pPr>
      <w:r w:rsidRPr="00243E98">
        <w:rPr>
          <w:rStyle w:val="Refdenotaderodap"/>
          <w:rFonts w:ascii="Verdana" w:hAnsi="Verdana"/>
          <w:sz w:val="24"/>
          <w:szCs w:val="24"/>
        </w:rPr>
        <w:footnoteRef/>
      </w:r>
      <w:r w:rsidRPr="00243E98">
        <w:rPr>
          <w:rFonts w:ascii="Verdana" w:hAnsi="Verdana"/>
          <w:sz w:val="24"/>
          <w:szCs w:val="24"/>
        </w:rPr>
        <w:t xml:space="preserve">  Serviço de Jurisprudência, D.J. 19/12/96, 28/11/95, EMENTÁRIO 1855-01, Primeira Turma, RMS 22.192-9-DF, </w:t>
      </w:r>
      <w:hyperlink r:id="rId1" w:history="1">
        <w:r w:rsidRPr="00243E98">
          <w:rPr>
            <w:rStyle w:val="Hyperlink"/>
            <w:rFonts w:ascii="Verdana" w:hAnsi="Verdana"/>
            <w:color w:val="auto"/>
            <w:sz w:val="24"/>
            <w:szCs w:val="24"/>
          </w:rPr>
          <w:t>http://redir.stf.jus.br/paginadorpub/paginador.jsp?docTP=AC&amp;docID=115743</w:t>
        </w:r>
      </w:hyperlink>
      <w:r w:rsidRPr="00243E98">
        <w:rPr>
          <w:rFonts w:ascii="Verdana" w:hAnsi="Verdana"/>
          <w:sz w:val="24"/>
          <w:szCs w:val="24"/>
        </w:rPr>
        <w:t>.</w:t>
      </w:r>
    </w:p>
    <w:p w:rsidR="00BD39D4" w:rsidRPr="00243E98" w:rsidRDefault="00BD39D4" w:rsidP="00243E98">
      <w:pPr>
        <w:pStyle w:val="Textodenotaderodap"/>
        <w:jc w:val="both"/>
        <w:rPr>
          <w:rFonts w:ascii="Verdana" w:hAnsi="Verdana"/>
          <w:sz w:val="24"/>
          <w:szCs w:val="24"/>
        </w:rPr>
      </w:pPr>
    </w:p>
  </w:footnote>
  <w:footnote w:id="2">
    <w:p w:rsidR="00BD39D4" w:rsidRPr="00243E98" w:rsidRDefault="00BD39D4" w:rsidP="00243E98">
      <w:pPr>
        <w:pStyle w:val="Textodenotaderodap"/>
        <w:jc w:val="both"/>
        <w:rPr>
          <w:rFonts w:ascii="Verdana" w:hAnsi="Verdana"/>
          <w:sz w:val="24"/>
          <w:szCs w:val="24"/>
        </w:rPr>
      </w:pPr>
      <w:r w:rsidRPr="00243E98">
        <w:rPr>
          <w:rStyle w:val="Refdenotaderodap"/>
          <w:rFonts w:ascii="Verdana" w:hAnsi="Verdana"/>
          <w:sz w:val="24"/>
          <w:szCs w:val="24"/>
        </w:rPr>
        <w:footnoteRef/>
      </w:r>
      <w:r w:rsidRPr="00243E98">
        <w:rPr>
          <w:rFonts w:ascii="Verdana" w:hAnsi="Verdana"/>
          <w:sz w:val="24"/>
          <w:szCs w:val="24"/>
        </w:rPr>
        <w:t xml:space="preserve"> Do voto do Ministro Celso de Mello no referido Recurso Extraordinário leia-se:</w:t>
      </w:r>
    </w:p>
    <w:p w:rsidR="00BD39D4" w:rsidRPr="00243E98" w:rsidRDefault="00BD39D4" w:rsidP="00243E98">
      <w:pPr>
        <w:spacing w:after="0" w:line="240" w:lineRule="auto"/>
        <w:jc w:val="both"/>
        <w:rPr>
          <w:rFonts w:ascii="Verdana" w:hAnsi="Verdana" w:cs="Times New Roman"/>
          <w:sz w:val="24"/>
          <w:szCs w:val="24"/>
        </w:rPr>
      </w:pPr>
      <w:r w:rsidRPr="00243E98">
        <w:rPr>
          <w:rFonts w:ascii="Verdana" w:hAnsi="Verdana" w:cs="Times New Roman"/>
          <w:sz w:val="24"/>
          <w:szCs w:val="24"/>
        </w:rPr>
        <w:t>“Com a superveniência da Constituição Federal de 1988, outorgou-se às entidades beneficentes de assistência social, em norma definidora de típica hipótese de imunidade, uma expressiva garantia de índole tributária em favor dessas instituições civis.</w:t>
      </w:r>
    </w:p>
    <w:p w:rsidR="00BD39D4" w:rsidRPr="00243E98" w:rsidRDefault="00BD39D4" w:rsidP="00243E98">
      <w:pPr>
        <w:spacing w:after="0" w:line="240" w:lineRule="auto"/>
        <w:jc w:val="both"/>
        <w:rPr>
          <w:rFonts w:ascii="Verdana" w:hAnsi="Verdana" w:cs="Times New Roman"/>
          <w:sz w:val="24"/>
          <w:szCs w:val="24"/>
        </w:rPr>
      </w:pPr>
      <w:r w:rsidRPr="00243E98">
        <w:rPr>
          <w:rFonts w:ascii="Verdana" w:hAnsi="Verdana" w:cs="Times New Roman"/>
          <w:sz w:val="24"/>
          <w:szCs w:val="24"/>
        </w:rPr>
        <w:t>A cláusula inscrita no art. 195, § 7º, da Carta Política - não obstante referir-se impropriamente à isenção de contribuição para seguridade social</w:t>
      </w:r>
      <w:r w:rsidRPr="00243E98">
        <w:rPr>
          <w:rFonts w:ascii="Verdana" w:hAnsi="Verdana" w:cs="Times New Roman"/>
          <w:sz w:val="24"/>
          <w:szCs w:val="24"/>
        </w:rPr>
        <w:tab/>
        <w:t>, contemplou as entidades beneficentes de assistência social com o favor constitucional da imunidade tributária, desde que p</w:t>
      </w:r>
      <w:r w:rsidR="00425C3F">
        <w:rPr>
          <w:rFonts w:ascii="Verdana" w:hAnsi="Verdana" w:cs="Times New Roman"/>
          <w:sz w:val="24"/>
          <w:szCs w:val="24"/>
        </w:rPr>
        <w:t>or elas preenchidos os requisito</w:t>
      </w:r>
      <w:r w:rsidRPr="00243E98">
        <w:rPr>
          <w:rFonts w:ascii="Verdana" w:hAnsi="Verdana" w:cs="Times New Roman"/>
          <w:sz w:val="24"/>
          <w:szCs w:val="24"/>
        </w:rPr>
        <w:t xml:space="preserve">s fixados em lei (ROQUE ANTONIO CARRAZZA, "Curso de Direito Constitucional Tributário", p. 349 nota de rodapé n° 144, 5 ed., 1993, Malheiros; JOSÉ EDUARDO SOARES DE MELO, "Contribuições Sociais no Sistema Tributário", p. 171-175, 1995, Malheiros; SACHA CALMON NAVARRO COÊLHO, "Comentários à Constituição de 1988 - Sistema Tributário", p. 41-42, item n° 22, 41 ed., 1992, Forense;  WAGNER BALERA, "Seguridade </w:t>
      </w:r>
      <w:r w:rsidR="00425C3F">
        <w:rPr>
          <w:rFonts w:ascii="Verdana" w:hAnsi="Verdana" w:cs="Times New Roman"/>
          <w:sz w:val="24"/>
          <w:szCs w:val="24"/>
        </w:rPr>
        <w:t>Social na Constituição de 1988”</w:t>
      </w:r>
      <w:r w:rsidRPr="00243E98">
        <w:rPr>
          <w:rFonts w:ascii="Verdana" w:hAnsi="Verdana" w:cs="Times New Roman"/>
          <w:sz w:val="24"/>
          <w:szCs w:val="24"/>
        </w:rPr>
        <w:t>, p. 71, 1989, RT, v.g.).</w:t>
      </w:r>
    </w:p>
    <w:p w:rsidR="00BD39D4" w:rsidRPr="00243E98" w:rsidRDefault="00BD39D4" w:rsidP="00243E98">
      <w:pPr>
        <w:spacing w:after="0" w:line="240" w:lineRule="auto"/>
        <w:jc w:val="both"/>
        <w:rPr>
          <w:rFonts w:ascii="Verdana" w:hAnsi="Verdana" w:cs="Times New Roman"/>
          <w:sz w:val="24"/>
          <w:szCs w:val="24"/>
        </w:rPr>
      </w:pPr>
      <w:r w:rsidRPr="00243E98">
        <w:rPr>
          <w:rFonts w:ascii="Verdana" w:hAnsi="Verdana" w:cs="Times New Roman"/>
          <w:sz w:val="24"/>
          <w:szCs w:val="24"/>
        </w:rPr>
        <w:t>Convém salientar que esse magistério doutrinário reflete-se na própria jurisprudência constitucional do Supremo Tribunal Federal, que já identificou, na cláusula inscrita no art. 195, § 70, da Carta Política, a existência de uma típica garantia de imunidade estabelecida em favor das entidades beneficentes de assi</w:t>
      </w:r>
      <w:r w:rsidR="00425C3F">
        <w:rPr>
          <w:rFonts w:ascii="Verdana" w:hAnsi="Verdana" w:cs="Times New Roman"/>
          <w:sz w:val="24"/>
          <w:szCs w:val="24"/>
        </w:rPr>
        <w:t>stência social (RTJ 137/965, Rel</w:t>
      </w:r>
      <w:r w:rsidRPr="00243E98">
        <w:rPr>
          <w:rFonts w:ascii="Verdana" w:hAnsi="Verdana" w:cs="Times New Roman"/>
          <w:sz w:val="24"/>
          <w:szCs w:val="24"/>
        </w:rPr>
        <w:t>. Mm. MOREIRA ALVES).</w:t>
      </w:r>
    </w:p>
    <w:p w:rsidR="00BD39D4" w:rsidRPr="00243E98" w:rsidRDefault="00BD39D4" w:rsidP="00243E98">
      <w:pPr>
        <w:pStyle w:val="Textodenotaderodap"/>
        <w:jc w:val="both"/>
        <w:rPr>
          <w:rFonts w:ascii="Verdana" w:hAnsi="Verdana" w:cs="Times New Roman"/>
          <w:sz w:val="24"/>
          <w:szCs w:val="24"/>
        </w:rPr>
      </w:pPr>
      <w:r w:rsidRPr="00DC6AE9">
        <w:rPr>
          <w:rFonts w:ascii="Verdana" w:hAnsi="Verdana" w:cs="Times New Roman"/>
          <w:sz w:val="24"/>
          <w:szCs w:val="24"/>
          <w:u w:val="single"/>
        </w:rPr>
        <w:t>O fato irrecusável é que a norma constitucional em questão, em tema de tributação concernente às contribuições destinadas à seguridade social, reveste-se de eficácia subordinante de toda atividade estatal, vinculando não só os atos de produção normativa, mas também condicionando as próprias deliberações administrativas do Poder Público, em ordem a pré-excluir a possibilidade de imposição estatal dessa particular modalidade de exação tributária”</w:t>
      </w:r>
      <w:r w:rsidR="00DC6AE9">
        <w:rPr>
          <w:rFonts w:ascii="Verdana" w:hAnsi="Verdana" w:cs="Times New Roman"/>
          <w:sz w:val="24"/>
          <w:szCs w:val="24"/>
        </w:rPr>
        <w:t xml:space="preserve"> (grifos meus)</w:t>
      </w:r>
      <w:r w:rsidRPr="00243E98">
        <w:rPr>
          <w:rFonts w:ascii="Verdana" w:hAnsi="Verdana" w:cs="Times New Roman"/>
          <w:sz w:val="24"/>
          <w:szCs w:val="24"/>
        </w:rPr>
        <w:t>.</w:t>
      </w:r>
    </w:p>
    <w:p w:rsidR="00BD39D4" w:rsidRPr="00243E98" w:rsidRDefault="00BD39D4" w:rsidP="00243E98">
      <w:pPr>
        <w:pStyle w:val="Textodenotaderodap"/>
        <w:jc w:val="both"/>
        <w:rPr>
          <w:rFonts w:ascii="Verdana" w:hAnsi="Verdana"/>
          <w:sz w:val="24"/>
          <w:szCs w:val="24"/>
        </w:rPr>
      </w:pPr>
    </w:p>
  </w:footnote>
  <w:footnote w:id="3">
    <w:p w:rsidR="00BD39D4" w:rsidRPr="00243E98" w:rsidRDefault="00BD39D4" w:rsidP="00243E98">
      <w:pPr>
        <w:pStyle w:val="Textodenotaderodap"/>
        <w:jc w:val="both"/>
        <w:rPr>
          <w:rFonts w:ascii="Verdana" w:hAnsi="Verdana"/>
          <w:iCs/>
          <w:sz w:val="24"/>
          <w:szCs w:val="24"/>
        </w:rPr>
      </w:pPr>
      <w:r w:rsidRPr="00243E98">
        <w:rPr>
          <w:rStyle w:val="Refdenotaderodap"/>
          <w:rFonts w:ascii="Verdana" w:hAnsi="Verdana"/>
          <w:sz w:val="24"/>
          <w:szCs w:val="24"/>
        </w:rPr>
        <w:footnoteRef/>
      </w:r>
      <w:r w:rsidRPr="00243E98">
        <w:rPr>
          <w:rFonts w:ascii="Verdana" w:hAnsi="Verdana"/>
          <w:sz w:val="24"/>
          <w:szCs w:val="24"/>
        </w:rPr>
        <w:t xml:space="preserve"> </w:t>
      </w:r>
      <w:r w:rsidRPr="00243E98">
        <w:rPr>
          <w:rFonts w:ascii="Verdana" w:hAnsi="Verdana"/>
          <w:iCs/>
          <w:sz w:val="24"/>
          <w:szCs w:val="24"/>
        </w:rPr>
        <w:t>Direito Empresarial - Pareceres, 2ª ed., Ed. Forense, 1986, p. 298/299.</w:t>
      </w:r>
    </w:p>
    <w:p w:rsidR="00BD39D4" w:rsidRPr="00243E98" w:rsidRDefault="00BD39D4" w:rsidP="00243E98">
      <w:pPr>
        <w:pStyle w:val="Textodenotaderodap"/>
        <w:jc w:val="both"/>
        <w:rPr>
          <w:rFonts w:ascii="Verdana" w:hAnsi="Verdana"/>
          <w:sz w:val="24"/>
          <w:szCs w:val="24"/>
        </w:rPr>
      </w:pPr>
    </w:p>
  </w:footnote>
  <w:footnote w:id="4">
    <w:p w:rsidR="00BD39D4" w:rsidRPr="00243E98" w:rsidRDefault="00BD39D4" w:rsidP="00243E98">
      <w:pPr>
        <w:pStyle w:val="Textodenotaderodap"/>
        <w:jc w:val="both"/>
        <w:rPr>
          <w:rFonts w:ascii="Verdana" w:hAnsi="Verdana"/>
          <w:sz w:val="24"/>
          <w:szCs w:val="24"/>
        </w:rPr>
      </w:pPr>
      <w:r w:rsidRPr="00243E98">
        <w:rPr>
          <w:rStyle w:val="Refdenotaderodap"/>
          <w:rFonts w:ascii="Verdana" w:hAnsi="Verdana"/>
          <w:sz w:val="24"/>
          <w:szCs w:val="24"/>
        </w:rPr>
        <w:footnoteRef/>
      </w:r>
      <w:r w:rsidRPr="00243E98">
        <w:rPr>
          <w:rFonts w:ascii="Verdana" w:hAnsi="Verdana"/>
          <w:sz w:val="24"/>
          <w:szCs w:val="24"/>
        </w:rPr>
        <w:t xml:space="preserve"> Escrevi:</w:t>
      </w:r>
    </w:p>
    <w:p w:rsidR="00BD39D4" w:rsidRPr="00243E98" w:rsidRDefault="00BD39D4" w:rsidP="00243E98">
      <w:pPr>
        <w:pStyle w:val="Textodenotaderodap"/>
        <w:jc w:val="both"/>
        <w:rPr>
          <w:rFonts w:ascii="Verdana" w:hAnsi="Verdana"/>
          <w:sz w:val="24"/>
          <w:szCs w:val="24"/>
        </w:rPr>
      </w:pPr>
      <w:r w:rsidRPr="00243E98">
        <w:rPr>
          <w:rFonts w:ascii="Verdana" w:hAnsi="Verdana"/>
          <w:sz w:val="24"/>
          <w:szCs w:val="24"/>
        </w:rPr>
        <w:t xml:space="preserve">“Na imunidade, portanto, há um interesse nacional superior a retirar, do campo de tributação, pessoas, situações, fatos considerados de relevo, enquanto nas demais formas </w:t>
      </w:r>
      <w:proofErr w:type="spellStart"/>
      <w:r w:rsidRPr="00243E98">
        <w:rPr>
          <w:rFonts w:ascii="Verdana" w:hAnsi="Verdana"/>
          <w:sz w:val="24"/>
          <w:szCs w:val="24"/>
        </w:rPr>
        <w:t>desonerativas</w:t>
      </w:r>
      <w:proofErr w:type="spellEnd"/>
      <w:r w:rsidRPr="00243E98">
        <w:rPr>
          <w:rFonts w:ascii="Verdana" w:hAnsi="Verdana"/>
          <w:sz w:val="24"/>
          <w:szCs w:val="24"/>
        </w:rPr>
        <w:t xml:space="preserve"> há apenas a veiculação de uma política transitória, de índole tributária definida pelo próprio Poder Público, em sua esfera de atuação.</w:t>
      </w:r>
    </w:p>
    <w:p w:rsidR="00BD39D4" w:rsidRPr="00243E98" w:rsidRDefault="00BD39D4" w:rsidP="00243E98">
      <w:pPr>
        <w:pStyle w:val="Textodenotaderodap"/>
        <w:jc w:val="both"/>
        <w:rPr>
          <w:rFonts w:ascii="Verdana" w:hAnsi="Verdana"/>
          <w:sz w:val="24"/>
          <w:szCs w:val="24"/>
        </w:rPr>
      </w:pPr>
      <w:r w:rsidRPr="00243E98">
        <w:rPr>
          <w:rFonts w:ascii="Verdana" w:hAnsi="Verdana"/>
          <w:sz w:val="24"/>
          <w:szCs w:val="24"/>
        </w:rPr>
        <w:t>E por que, na imunidade, há esta vedação absoluta ao poder de tributar? Por que o constituinte coloca um muro à imposição de forma insuperável, a não ser por emenda constitucional?</w:t>
      </w:r>
    </w:p>
    <w:p w:rsidR="00BD39D4" w:rsidRPr="00243E98" w:rsidRDefault="00BD39D4" w:rsidP="00243E98">
      <w:pPr>
        <w:pStyle w:val="Textodenotaderodap"/>
        <w:jc w:val="both"/>
        <w:rPr>
          <w:rFonts w:ascii="Verdana" w:hAnsi="Verdana"/>
          <w:sz w:val="24"/>
          <w:szCs w:val="24"/>
        </w:rPr>
      </w:pPr>
      <w:r w:rsidRPr="00243E98">
        <w:rPr>
          <w:rFonts w:ascii="Verdana" w:hAnsi="Verdana"/>
          <w:sz w:val="24"/>
          <w:szCs w:val="24"/>
        </w:rPr>
        <w:t xml:space="preserve">É que a imunidade, nas hipóteses constitucionais, constitui o instrumento que o constituinte considerou fundamental para, de um lado, manter a democracia, a liberdade de expressão e a ação dos cidadãos e, por outro lado, atrair os cidadãos a colaborarem com o Estado, nas suas atividades essenciais, em que, muitas vezes, o próprio Estado atua mal ou insuficientemente, como na educação, na assistência social etc.” (Pesquisas Tributárias, Nova Série 4, Imunidades Tributárias, coordenação Ives Gandra Martins, </w:t>
      </w:r>
      <w:proofErr w:type="spellStart"/>
      <w:r w:rsidRPr="00243E98">
        <w:rPr>
          <w:rFonts w:ascii="Verdana" w:hAnsi="Verdana"/>
          <w:sz w:val="24"/>
          <w:szCs w:val="24"/>
        </w:rPr>
        <w:t>coed</w:t>
      </w:r>
      <w:proofErr w:type="spellEnd"/>
      <w:r w:rsidRPr="00243E98">
        <w:rPr>
          <w:rFonts w:ascii="Verdana" w:hAnsi="Verdana"/>
          <w:sz w:val="24"/>
          <w:szCs w:val="24"/>
        </w:rPr>
        <w:t>. Centro de Extensão universitária/Ed. RT, São Paulo, 1998, p. 32).</w:t>
      </w:r>
    </w:p>
    <w:p w:rsidR="00BD39D4" w:rsidRPr="00243E98" w:rsidRDefault="00BD39D4" w:rsidP="00243E98">
      <w:pPr>
        <w:pStyle w:val="Textodenotaderodap"/>
        <w:jc w:val="both"/>
        <w:rPr>
          <w:rFonts w:ascii="Verdana" w:hAnsi="Verdana"/>
          <w:sz w:val="24"/>
          <w:szCs w:val="24"/>
        </w:rPr>
      </w:pPr>
    </w:p>
  </w:footnote>
  <w:footnote w:id="5">
    <w:p w:rsidR="00BD39D4" w:rsidRPr="00243E98" w:rsidRDefault="00BD39D4" w:rsidP="00243E98">
      <w:pPr>
        <w:pStyle w:val="Textodenotaderodap"/>
        <w:jc w:val="both"/>
        <w:rPr>
          <w:rFonts w:ascii="Verdana" w:hAnsi="Verdana"/>
          <w:sz w:val="24"/>
          <w:szCs w:val="24"/>
        </w:rPr>
      </w:pPr>
      <w:r w:rsidRPr="00243E98">
        <w:rPr>
          <w:rStyle w:val="Refdenotaderodap"/>
          <w:rFonts w:ascii="Verdana" w:hAnsi="Verdana"/>
          <w:sz w:val="24"/>
          <w:szCs w:val="24"/>
        </w:rPr>
        <w:footnoteRef/>
      </w:r>
      <w:r w:rsidRPr="00243E98">
        <w:rPr>
          <w:rFonts w:ascii="Verdana" w:hAnsi="Verdana"/>
          <w:sz w:val="24"/>
          <w:szCs w:val="24"/>
        </w:rPr>
        <w:t xml:space="preserve">  José </w:t>
      </w:r>
      <w:proofErr w:type="spellStart"/>
      <w:r w:rsidRPr="00243E98">
        <w:rPr>
          <w:rFonts w:ascii="Verdana" w:hAnsi="Verdana"/>
          <w:sz w:val="24"/>
          <w:szCs w:val="24"/>
        </w:rPr>
        <w:t>Cretella</w:t>
      </w:r>
      <w:proofErr w:type="spellEnd"/>
      <w:r w:rsidRPr="00243E98">
        <w:rPr>
          <w:rFonts w:ascii="Verdana" w:hAnsi="Verdana"/>
          <w:sz w:val="24"/>
          <w:szCs w:val="24"/>
        </w:rPr>
        <w:t xml:space="preserve"> Jr. lembra que:</w:t>
      </w:r>
    </w:p>
    <w:p w:rsidR="00BD39D4" w:rsidRPr="00243E98" w:rsidRDefault="00BD39D4" w:rsidP="00243E98">
      <w:pPr>
        <w:pStyle w:val="Textodenotaderodap"/>
        <w:jc w:val="both"/>
        <w:rPr>
          <w:rFonts w:ascii="Verdana" w:hAnsi="Verdana"/>
          <w:sz w:val="24"/>
          <w:szCs w:val="24"/>
        </w:rPr>
      </w:pPr>
      <w:r w:rsidRPr="00243E98">
        <w:rPr>
          <w:rFonts w:ascii="Verdana" w:hAnsi="Verdana"/>
          <w:sz w:val="24"/>
          <w:szCs w:val="24"/>
        </w:rPr>
        <w:t>“Vedações constitucionais são restrições de ordem geral, ou especial, determinadas pela Constituição Federal à competência impositiva das pessoas jurídicas públicas políticas. A vedação constitucional pode ser genérica ou específica, subjetiva ou objetiva. Quando a Constituição veda às entidades tributantes</w:t>
      </w:r>
      <w:r w:rsidR="0017131B">
        <w:rPr>
          <w:rFonts w:ascii="Verdana" w:hAnsi="Verdana"/>
          <w:sz w:val="24"/>
          <w:szCs w:val="24"/>
        </w:rPr>
        <w:t xml:space="preserve"> </w:t>
      </w:r>
      <w:r w:rsidRPr="00243E98">
        <w:rPr>
          <w:rFonts w:ascii="Verdana" w:hAnsi="Verdana"/>
          <w:sz w:val="24"/>
          <w:szCs w:val="24"/>
        </w:rPr>
        <w:t xml:space="preserve">a instituição (ou aumento) de tributo, sem lei anterior que o estabeleça, a proibição é genérica, abrangendo todo e qualquer tipo  de tributo,  exceto os casos constitucionalmente ressalvados. Vedação específica é a que recai sobre eventual, mas determinado tipo de fato gerador. Subjetiva é a vedação que incide sobre “pessoas”. Objetiva é a vedação que recai sobre “bens” ou “coisas”. As vedações tributárias têm início no texto da primeira </w:t>
      </w:r>
      <w:r w:rsidR="0017131B" w:rsidRPr="00243E98">
        <w:rPr>
          <w:rFonts w:ascii="Verdana" w:hAnsi="Verdana"/>
          <w:sz w:val="24"/>
          <w:szCs w:val="24"/>
        </w:rPr>
        <w:t>Constituição</w:t>
      </w:r>
      <w:r w:rsidRPr="00243E98">
        <w:rPr>
          <w:rFonts w:ascii="Verdana" w:hAnsi="Verdana"/>
          <w:sz w:val="24"/>
          <w:szCs w:val="24"/>
        </w:rPr>
        <w:t xml:space="preserve"> republicana, </w:t>
      </w:r>
      <w:proofErr w:type="spellStart"/>
      <w:r w:rsidRPr="00243E98">
        <w:rPr>
          <w:rFonts w:ascii="Verdana" w:hAnsi="Verdana"/>
          <w:sz w:val="24"/>
          <w:szCs w:val="24"/>
        </w:rPr>
        <w:t>arts</w:t>
      </w:r>
      <w:proofErr w:type="spellEnd"/>
      <w:r w:rsidRPr="00243E98">
        <w:rPr>
          <w:rFonts w:ascii="Verdana" w:hAnsi="Verdana"/>
          <w:sz w:val="24"/>
          <w:szCs w:val="24"/>
        </w:rPr>
        <w:t xml:space="preserve">. 8º, 10 e 11, ingressam na Constituição de 1934, art. 17, IX, passam à Carta de 1937, art. 25, recebem agasalho na Constituição de 1946, art. 31, e chegam a nossos dias, inscrevendo-se nas últimas Constituições” (Comentários à </w:t>
      </w:r>
      <w:r w:rsidR="0017131B" w:rsidRPr="00243E98">
        <w:rPr>
          <w:rFonts w:ascii="Verdana" w:hAnsi="Verdana"/>
          <w:sz w:val="24"/>
          <w:szCs w:val="24"/>
        </w:rPr>
        <w:t>Constituição 1988</w:t>
      </w:r>
      <w:r w:rsidRPr="00243E98">
        <w:rPr>
          <w:rFonts w:ascii="Verdana" w:hAnsi="Verdana"/>
          <w:sz w:val="24"/>
          <w:szCs w:val="24"/>
        </w:rPr>
        <w:t>, volume VII, Forense Universitária, Rio de Janeiro, 1992, p. 3549).</w:t>
      </w:r>
    </w:p>
  </w:footnote>
  <w:footnote w:id="6">
    <w:p w:rsidR="00BD39D4" w:rsidRPr="00243E98" w:rsidRDefault="00BD39D4" w:rsidP="00243E98">
      <w:pPr>
        <w:pStyle w:val="Textodenotaderodap"/>
        <w:jc w:val="both"/>
        <w:rPr>
          <w:rFonts w:ascii="Verdana" w:hAnsi="Verdana"/>
          <w:sz w:val="24"/>
          <w:szCs w:val="24"/>
        </w:rPr>
      </w:pPr>
      <w:r w:rsidRPr="00243E98">
        <w:rPr>
          <w:rStyle w:val="Refdenotaderodap"/>
          <w:rFonts w:ascii="Verdana" w:hAnsi="Verdana"/>
          <w:sz w:val="24"/>
          <w:szCs w:val="24"/>
        </w:rPr>
        <w:footnoteRef/>
      </w:r>
      <w:r w:rsidRPr="00243E98">
        <w:rPr>
          <w:rFonts w:ascii="Verdana" w:hAnsi="Verdana"/>
          <w:sz w:val="24"/>
          <w:szCs w:val="24"/>
        </w:rPr>
        <w:t xml:space="preserve"> Os artigos 134 e 135 do CTN têm a seguinte dicção:</w:t>
      </w:r>
    </w:p>
    <w:p w:rsidR="00BD39D4" w:rsidRPr="00243E98" w:rsidRDefault="00BD39D4" w:rsidP="00243E98">
      <w:pPr>
        <w:shd w:val="clear" w:color="auto" w:fill="FFFFFF"/>
        <w:spacing w:after="0" w:line="240" w:lineRule="auto"/>
        <w:jc w:val="both"/>
        <w:rPr>
          <w:rFonts w:ascii="Verdana" w:eastAsia="Times New Roman" w:hAnsi="Verdana" w:cs="Times New Roman"/>
          <w:color w:val="000000"/>
          <w:sz w:val="24"/>
          <w:szCs w:val="24"/>
          <w:lang w:eastAsia="pt-BR"/>
        </w:rPr>
      </w:pPr>
      <w:r w:rsidRPr="00243E98">
        <w:rPr>
          <w:rFonts w:ascii="Verdana" w:eastAsia="Times New Roman" w:hAnsi="Verdana" w:cs="Times New Roman"/>
          <w:color w:val="000000"/>
          <w:sz w:val="24"/>
          <w:szCs w:val="24"/>
          <w:lang w:eastAsia="pt-BR"/>
        </w:rPr>
        <w:t>“ </w:t>
      </w:r>
      <w:r w:rsidRPr="00243E98">
        <w:rPr>
          <w:rFonts w:ascii="Verdana" w:eastAsia="Times New Roman" w:hAnsi="Verdana" w:cs="Arial"/>
          <w:color w:val="000000"/>
          <w:sz w:val="24"/>
          <w:szCs w:val="24"/>
          <w:lang w:eastAsia="pt-BR"/>
        </w:rPr>
        <w:t>Art. 134. Nos casos de impossibilidade de exigência do cumprimento da obrigação principal pelo contribuinte, respondem solidariamente com este nos atos em que intervierem ou pelas omissões de que forem responsáveis:</w:t>
      </w:r>
    </w:p>
    <w:p w:rsidR="00BD39D4" w:rsidRPr="00243E98" w:rsidRDefault="00BD39D4" w:rsidP="00243E98">
      <w:pPr>
        <w:shd w:val="clear" w:color="auto" w:fill="FFFFFF"/>
        <w:spacing w:after="0" w:line="240" w:lineRule="auto"/>
        <w:jc w:val="both"/>
        <w:rPr>
          <w:rFonts w:ascii="Verdana" w:eastAsia="Times New Roman" w:hAnsi="Verdana" w:cs="Times New Roman"/>
          <w:color w:val="000000"/>
          <w:sz w:val="24"/>
          <w:szCs w:val="24"/>
          <w:lang w:eastAsia="pt-BR"/>
        </w:rPr>
      </w:pPr>
      <w:r w:rsidRPr="00243E98">
        <w:rPr>
          <w:rFonts w:ascii="Verdana" w:eastAsia="Times New Roman" w:hAnsi="Verdana" w:cs="Arial"/>
          <w:color w:val="000000"/>
          <w:sz w:val="24"/>
          <w:szCs w:val="24"/>
          <w:lang w:eastAsia="pt-BR"/>
        </w:rPr>
        <w:t>        I - os pais, pelos tributos devidos por seus filhos menores;</w:t>
      </w:r>
    </w:p>
    <w:p w:rsidR="00BD39D4" w:rsidRPr="00243E98" w:rsidRDefault="00BD39D4" w:rsidP="00243E98">
      <w:pPr>
        <w:shd w:val="clear" w:color="auto" w:fill="FFFFFF"/>
        <w:spacing w:after="0" w:line="240" w:lineRule="auto"/>
        <w:jc w:val="both"/>
        <w:rPr>
          <w:rFonts w:ascii="Verdana" w:eastAsia="Times New Roman" w:hAnsi="Verdana" w:cs="Times New Roman"/>
          <w:color w:val="000000"/>
          <w:sz w:val="24"/>
          <w:szCs w:val="24"/>
          <w:lang w:eastAsia="pt-BR"/>
        </w:rPr>
      </w:pPr>
      <w:r w:rsidRPr="00243E98">
        <w:rPr>
          <w:rFonts w:ascii="Verdana" w:eastAsia="Times New Roman" w:hAnsi="Verdana" w:cs="Arial"/>
          <w:color w:val="000000"/>
          <w:sz w:val="24"/>
          <w:szCs w:val="24"/>
          <w:lang w:eastAsia="pt-BR"/>
        </w:rPr>
        <w:t>        II - os tutores e curadores, pelos tributos devidos por seus tutelados ou curatelados;</w:t>
      </w:r>
    </w:p>
    <w:p w:rsidR="00BD39D4" w:rsidRPr="00243E98" w:rsidRDefault="00BD39D4" w:rsidP="00243E98">
      <w:pPr>
        <w:shd w:val="clear" w:color="auto" w:fill="FFFFFF"/>
        <w:spacing w:after="0" w:line="240" w:lineRule="auto"/>
        <w:jc w:val="both"/>
        <w:rPr>
          <w:rFonts w:ascii="Verdana" w:eastAsia="Times New Roman" w:hAnsi="Verdana" w:cs="Times New Roman"/>
          <w:color w:val="000000"/>
          <w:sz w:val="24"/>
          <w:szCs w:val="24"/>
          <w:lang w:eastAsia="pt-BR"/>
        </w:rPr>
      </w:pPr>
      <w:r w:rsidRPr="00243E98">
        <w:rPr>
          <w:rFonts w:ascii="Verdana" w:eastAsia="Times New Roman" w:hAnsi="Verdana" w:cs="Arial"/>
          <w:color w:val="000000"/>
          <w:sz w:val="24"/>
          <w:szCs w:val="24"/>
          <w:lang w:eastAsia="pt-BR"/>
        </w:rPr>
        <w:t>        III - os administradores de bens de terceiros, pelos tributos devidos por estes;</w:t>
      </w:r>
    </w:p>
    <w:p w:rsidR="00BD39D4" w:rsidRPr="00243E98" w:rsidRDefault="00BD39D4" w:rsidP="00243E98">
      <w:pPr>
        <w:shd w:val="clear" w:color="auto" w:fill="FFFFFF"/>
        <w:spacing w:after="0" w:line="240" w:lineRule="auto"/>
        <w:jc w:val="both"/>
        <w:rPr>
          <w:rFonts w:ascii="Verdana" w:eastAsia="Times New Roman" w:hAnsi="Verdana" w:cs="Times New Roman"/>
          <w:color w:val="000000"/>
          <w:sz w:val="24"/>
          <w:szCs w:val="24"/>
          <w:lang w:eastAsia="pt-BR"/>
        </w:rPr>
      </w:pPr>
      <w:r w:rsidRPr="00243E98">
        <w:rPr>
          <w:rFonts w:ascii="Verdana" w:eastAsia="Times New Roman" w:hAnsi="Verdana" w:cs="Arial"/>
          <w:color w:val="000000"/>
          <w:sz w:val="24"/>
          <w:szCs w:val="24"/>
          <w:lang w:eastAsia="pt-BR"/>
        </w:rPr>
        <w:t>        IV - o inventariante, pelos tributos devidos pelo espólio;</w:t>
      </w:r>
    </w:p>
    <w:p w:rsidR="00BD39D4" w:rsidRPr="00243E98" w:rsidRDefault="00BD39D4" w:rsidP="00243E98">
      <w:pPr>
        <w:shd w:val="clear" w:color="auto" w:fill="FFFFFF"/>
        <w:spacing w:after="0" w:line="240" w:lineRule="auto"/>
        <w:jc w:val="both"/>
        <w:rPr>
          <w:rFonts w:ascii="Verdana" w:eastAsia="Times New Roman" w:hAnsi="Verdana" w:cs="Times New Roman"/>
          <w:color w:val="000000"/>
          <w:sz w:val="24"/>
          <w:szCs w:val="24"/>
          <w:lang w:eastAsia="pt-BR"/>
        </w:rPr>
      </w:pPr>
      <w:r w:rsidRPr="00243E98">
        <w:rPr>
          <w:rFonts w:ascii="Verdana" w:eastAsia="Times New Roman" w:hAnsi="Verdana" w:cs="Arial"/>
          <w:color w:val="000000"/>
          <w:sz w:val="24"/>
          <w:szCs w:val="24"/>
          <w:lang w:eastAsia="pt-BR"/>
        </w:rPr>
        <w:t>        V - o síndico e o comissário, pelos tributos devidos pela massa falida ou pelo concordatário;</w:t>
      </w:r>
    </w:p>
    <w:p w:rsidR="00BD39D4" w:rsidRPr="00243E98" w:rsidRDefault="00BD39D4" w:rsidP="00243E98">
      <w:pPr>
        <w:shd w:val="clear" w:color="auto" w:fill="FFFFFF"/>
        <w:spacing w:after="0" w:line="240" w:lineRule="auto"/>
        <w:jc w:val="both"/>
        <w:rPr>
          <w:rFonts w:ascii="Verdana" w:eastAsia="Times New Roman" w:hAnsi="Verdana" w:cs="Times New Roman"/>
          <w:color w:val="000000"/>
          <w:sz w:val="24"/>
          <w:szCs w:val="24"/>
          <w:lang w:eastAsia="pt-BR"/>
        </w:rPr>
      </w:pPr>
      <w:r w:rsidRPr="00243E98">
        <w:rPr>
          <w:rFonts w:ascii="Verdana" w:eastAsia="Times New Roman" w:hAnsi="Verdana" w:cs="Arial"/>
          <w:color w:val="000000"/>
          <w:sz w:val="24"/>
          <w:szCs w:val="24"/>
          <w:lang w:eastAsia="pt-BR"/>
        </w:rPr>
        <w:t>        VI - os tabeliães, escrivães e demais serventuários de ofício, pelos tributos devidos sobre os atos praticados por eles, ou perante eles, em razão do seu ofício;</w:t>
      </w:r>
    </w:p>
    <w:p w:rsidR="00BD39D4" w:rsidRPr="00243E98" w:rsidRDefault="00BD39D4" w:rsidP="00243E98">
      <w:pPr>
        <w:shd w:val="clear" w:color="auto" w:fill="FFFFFF"/>
        <w:spacing w:after="0" w:line="240" w:lineRule="auto"/>
        <w:jc w:val="both"/>
        <w:rPr>
          <w:rFonts w:ascii="Verdana" w:eastAsia="Times New Roman" w:hAnsi="Verdana" w:cs="Times New Roman"/>
          <w:color w:val="000000"/>
          <w:sz w:val="24"/>
          <w:szCs w:val="24"/>
          <w:lang w:eastAsia="pt-BR"/>
        </w:rPr>
      </w:pPr>
      <w:r w:rsidRPr="00243E98">
        <w:rPr>
          <w:rFonts w:ascii="Verdana" w:eastAsia="Times New Roman" w:hAnsi="Verdana" w:cs="Arial"/>
          <w:color w:val="000000"/>
          <w:sz w:val="24"/>
          <w:szCs w:val="24"/>
          <w:lang w:eastAsia="pt-BR"/>
        </w:rPr>
        <w:t xml:space="preserve">        VII - </w:t>
      </w:r>
      <w:r w:rsidRPr="00DA1CDC">
        <w:rPr>
          <w:rFonts w:ascii="Verdana" w:eastAsia="Times New Roman" w:hAnsi="Verdana" w:cs="Arial"/>
          <w:color w:val="000000"/>
          <w:sz w:val="24"/>
          <w:szCs w:val="24"/>
          <w:u w:val="single"/>
          <w:lang w:eastAsia="pt-BR"/>
        </w:rPr>
        <w:t>os sócios, no caso de liquidação de sociedade de pessoas</w:t>
      </w:r>
      <w:r w:rsidRPr="00243E98">
        <w:rPr>
          <w:rFonts w:ascii="Verdana" w:eastAsia="Times New Roman" w:hAnsi="Verdana" w:cs="Arial"/>
          <w:color w:val="000000"/>
          <w:sz w:val="24"/>
          <w:szCs w:val="24"/>
          <w:lang w:eastAsia="pt-BR"/>
        </w:rPr>
        <w:t>.</w:t>
      </w:r>
    </w:p>
    <w:p w:rsidR="00BD39D4" w:rsidRDefault="00BD39D4" w:rsidP="00243E98">
      <w:pPr>
        <w:shd w:val="clear" w:color="auto" w:fill="FFFFFF"/>
        <w:spacing w:after="0" w:line="240" w:lineRule="auto"/>
        <w:jc w:val="both"/>
        <w:rPr>
          <w:rFonts w:ascii="Verdana" w:eastAsia="Times New Roman" w:hAnsi="Verdana" w:cs="Arial"/>
          <w:color w:val="000000"/>
          <w:sz w:val="24"/>
          <w:szCs w:val="24"/>
          <w:lang w:eastAsia="pt-BR"/>
        </w:rPr>
      </w:pPr>
      <w:r w:rsidRPr="00243E98">
        <w:rPr>
          <w:rFonts w:ascii="Verdana" w:eastAsia="Times New Roman" w:hAnsi="Verdana" w:cs="Arial"/>
          <w:color w:val="000000"/>
          <w:sz w:val="24"/>
          <w:szCs w:val="24"/>
          <w:lang w:eastAsia="pt-BR"/>
        </w:rPr>
        <w:t>        Parágrafo único. O disposto neste artigo só se aplica, em matéria de penalidades, às de caráter moratório.</w:t>
      </w:r>
    </w:p>
    <w:p w:rsidR="00DA1CDC" w:rsidRPr="00243E98" w:rsidRDefault="00DA1CDC" w:rsidP="00243E98">
      <w:pPr>
        <w:shd w:val="clear" w:color="auto" w:fill="FFFFFF"/>
        <w:spacing w:after="0" w:line="240" w:lineRule="auto"/>
        <w:jc w:val="both"/>
        <w:rPr>
          <w:rFonts w:ascii="Verdana" w:eastAsia="Times New Roman" w:hAnsi="Verdana" w:cs="Times New Roman"/>
          <w:color w:val="000000"/>
          <w:sz w:val="24"/>
          <w:szCs w:val="24"/>
          <w:lang w:eastAsia="pt-BR"/>
        </w:rPr>
      </w:pPr>
    </w:p>
    <w:p w:rsidR="00BD39D4" w:rsidRPr="00243E98" w:rsidRDefault="00DA1CDC" w:rsidP="00243E98">
      <w:pPr>
        <w:shd w:val="clear" w:color="auto" w:fill="FFFFFF"/>
        <w:spacing w:after="0" w:line="240" w:lineRule="auto"/>
        <w:jc w:val="both"/>
        <w:rPr>
          <w:rFonts w:ascii="Verdana" w:eastAsia="Times New Roman" w:hAnsi="Verdana" w:cs="Times New Roman"/>
          <w:color w:val="000000"/>
          <w:sz w:val="24"/>
          <w:szCs w:val="24"/>
          <w:lang w:eastAsia="pt-BR"/>
        </w:rPr>
      </w:pPr>
      <w:r>
        <w:rPr>
          <w:rFonts w:ascii="Verdana" w:eastAsia="Times New Roman" w:hAnsi="Verdana" w:cs="Arial"/>
          <w:color w:val="000000"/>
          <w:sz w:val="24"/>
          <w:szCs w:val="24"/>
          <w:lang w:eastAsia="pt-BR"/>
        </w:rPr>
        <w:t>A</w:t>
      </w:r>
      <w:r w:rsidR="00BD39D4" w:rsidRPr="00243E98">
        <w:rPr>
          <w:rFonts w:ascii="Verdana" w:eastAsia="Times New Roman" w:hAnsi="Verdana" w:cs="Arial"/>
          <w:color w:val="000000"/>
          <w:sz w:val="24"/>
          <w:szCs w:val="24"/>
          <w:lang w:eastAsia="pt-BR"/>
        </w:rPr>
        <w:t>rt. 135. São pessoalmente responsáveis pelos créditos correspondentes a obrigações tributárias resultantes de atos praticados com excesso de poderes ou infração de lei, contrato social ou estatutos:</w:t>
      </w:r>
    </w:p>
    <w:p w:rsidR="00BD39D4" w:rsidRPr="00DA1CDC" w:rsidRDefault="00BD39D4" w:rsidP="00243E98">
      <w:pPr>
        <w:shd w:val="clear" w:color="auto" w:fill="FFFFFF"/>
        <w:spacing w:after="0" w:line="240" w:lineRule="auto"/>
        <w:jc w:val="both"/>
        <w:rPr>
          <w:rFonts w:ascii="Verdana" w:eastAsia="Times New Roman" w:hAnsi="Verdana" w:cs="Times New Roman"/>
          <w:color w:val="000000"/>
          <w:sz w:val="24"/>
          <w:szCs w:val="24"/>
          <w:u w:val="single"/>
          <w:lang w:eastAsia="pt-BR"/>
        </w:rPr>
      </w:pPr>
      <w:r w:rsidRPr="00243E98">
        <w:rPr>
          <w:rFonts w:ascii="Verdana" w:eastAsia="Times New Roman" w:hAnsi="Verdana" w:cs="Arial"/>
          <w:color w:val="000000"/>
          <w:sz w:val="24"/>
          <w:szCs w:val="24"/>
          <w:lang w:eastAsia="pt-BR"/>
        </w:rPr>
        <w:t xml:space="preserve">        I - </w:t>
      </w:r>
      <w:r w:rsidRPr="00DA1CDC">
        <w:rPr>
          <w:rFonts w:ascii="Verdana" w:eastAsia="Times New Roman" w:hAnsi="Verdana" w:cs="Arial"/>
          <w:color w:val="000000"/>
          <w:sz w:val="24"/>
          <w:szCs w:val="24"/>
          <w:u w:val="single"/>
          <w:lang w:eastAsia="pt-BR"/>
        </w:rPr>
        <w:t>as pessoas referidas no artigo anterior;</w:t>
      </w:r>
    </w:p>
    <w:p w:rsidR="00BD39D4" w:rsidRPr="00DA1CDC" w:rsidRDefault="00BD39D4" w:rsidP="00243E98">
      <w:pPr>
        <w:shd w:val="clear" w:color="auto" w:fill="FFFFFF"/>
        <w:spacing w:after="0" w:line="240" w:lineRule="auto"/>
        <w:jc w:val="both"/>
        <w:rPr>
          <w:rFonts w:ascii="Verdana" w:eastAsia="Times New Roman" w:hAnsi="Verdana" w:cs="Times New Roman"/>
          <w:color w:val="000000"/>
          <w:sz w:val="24"/>
          <w:szCs w:val="24"/>
          <w:u w:val="single"/>
          <w:lang w:eastAsia="pt-BR"/>
        </w:rPr>
      </w:pPr>
      <w:r w:rsidRPr="00DA1CDC">
        <w:rPr>
          <w:rFonts w:ascii="Verdana" w:eastAsia="Times New Roman" w:hAnsi="Verdana" w:cs="Arial"/>
          <w:color w:val="000000"/>
          <w:sz w:val="24"/>
          <w:szCs w:val="24"/>
          <w:lang w:eastAsia="pt-BR"/>
        </w:rPr>
        <w:t xml:space="preserve">        II - </w:t>
      </w:r>
      <w:r w:rsidRPr="00DA1CDC">
        <w:rPr>
          <w:rFonts w:ascii="Verdana" w:eastAsia="Times New Roman" w:hAnsi="Verdana" w:cs="Arial"/>
          <w:color w:val="000000"/>
          <w:sz w:val="24"/>
          <w:szCs w:val="24"/>
          <w:u w:val="single"/>
          <w:lang w:eastAsia="pt-BR"/>
        </w:rPr>
        <w:t>os mandatários, prepostos e empregados;</w:t>
      </w:r>
    </w:p>
    <w:p w:rsidR="00BD39D4" w:rsidRPr="00243E98" w:rsidRDefault="00BD39D4" w:rsidP="00243E98">
      <w:pPr>
        <w:shd w:val="clear" w:color="auto" w:fill="FFFFFF"/>
        <w:spacing w:after="0" w:line="240" w:lineRule="auto"/>
        <w:jc w:val="both"/>
        <w:rPr>
          <w:rFonts w:ascii="Verdana" w:eastAsia="Times New Roman" w:hAnsi="Verdana" w:cs="Times New Roman"/>
          <w:color w:val="000000"/>
          <w:sz w:val="24"/>
          <w:szCs w:val="24"/>
          <w:lang w:eastAsia="pt-BR"/>
        </w:rPr>
      </w:pPr>
      <w:r w:rsidRPr="00DA1CDC">
        <w:rPr>
          <w:rFonts w:ascii="Verdana" w:eastAsia="Times New Roman" w:hAnsi="Verdana" w:cs="Arial"/>
          <w:color w:val="000000"/>
          <w:sz w:val="24"/>
          <w:szCs w:val="24"/>
          <w:lang w:eastAsia="pt-BR"/>
        </w:rPr>
        <w:t xml:space="preserve">        III - </w:t>
      </w:r>
      <w:r w:rsidRPr="00DA1CDC">
        <w:rPr>
          <w:rFonts w:ascii="Verdana" w:eastAsia="Times New Roman" w:hAnsi="Verdana" w:cs="Arial"/>
          <w:color w:val="000000"/>
          <w:sz w:val="24"/>
          <w:szCs w:val="24"/>
          <w:u w:val="single"/>
          <w:lang w:eastAsia="pt-BR"/>
        </w:rPr>
        <w:t>os diretores, gerentes ou representantes de pessoas jurídicas de direito privado</w:t>
      </w:r>
      <w:r w:rsidRPr="00243E98">
        <w:rPr>
          <w:rFonts w:ascii="Verdana" w:eastAsia="Times New Roman" w:hAnsi="Verdana" w:cs="Arial"/>
          <w:color w:val="000000"/>
          <w:sz w:val="24"/>
          <w:szCs w:val="24"/>
          <w:lang w:eastAsia="pt-BR"/>
        </w:rPr>
        <w:t>.”</w:t>
      </w:r>
      <w:r w:rsidR="00F43EF8">
        <w:rPr>
          <w:rFonts w:ascii="Verdana" w:eastAsia="Times New Roman" w:hAnsi="Verdana" w:cs="Arial"/>
          <w:color w:val="000000"/>
          <w:sz w:val="24"/>
          <w:szCs w:val="24"/>
          <w:lang w:eastAsia="pt-BR"/>
        </w:rPr>
        <w:t xml:space="preserve"> (grifos meus).</w:t>
      </w:r>
    </w:p>
    <w:p w:rsidR="00BD39D4" w:rsidRPr="00243E98" w:rsidRDefault="00BD39D4" w:rsidP="00243E98">
      <w:pPr>
        <w:pStyle w:val="Textodenotaderodap"/>
        <w:jc w:val="both"/>
        <w:rPr>
          <w:rFonts w:ascii="Verdana" w:hAnsi="Verdana"/>
          <w:sz w:val="24"/>
          <w:szCs w:val="24"/>
        </w:rPr>
      </w:pPr>
    </w:p>
  </w:footnote>
  <w:footnote w:id="7">
    <w:p w:rsidR="00DA1CDC" w:rsidRPr="00F43EF8" w:rsidRDefault="00DA1CDC" w:rsidP="00F43EF8">
      <w:pPr>
        <w:pStyle w:val="Textodenotaderodap"/>
        <w:jc w:val="both"/>
        <w:rPr>
          <w:rFonts w:ascii="Verdana" w:hAnsi="Verdana"/>
          <w:sz w:val="24"/>
          <w:szCs w:val="24"/>
        </w:rPr>
      </w:pPr>
      <w:r w:rsidRPr="00F43EF8">
        <w:rPr>
          <w:rStyle w:val="Refdenotaderodap"/>
          <w:rFonts w:ascii="Verdana" w:hAnsi="Verdana"/>
          <w:sz w:val="24"/>
          <w:szCs w:val="24"/>
        </w:rPr>
        <w:footnoteRef/>
      </w:r>
      <w:r w:rsidRPr="00F43EF8">
        <w:rPr>
          <w:rFonts w:ascii="Verdana" w:hAnsi="Verdana"/>
          <w:sz w:val="24"/>
          <w:szCs w:val="24"/>
        </w:rPr>
        <w:t xml:space="preserve">  </w:t>
      </w:r>
      <w:r w:rsidR="00F43EF8" w:rsidRPr="00F43EF8">
        <w:rPr>
          <w:rFonts w:ascii="Verdana" w:hAnsi="Verdana"/>
          <w:sz w:val="24"/>
          <w:szCs w:val="24"/>
        </w:rPr>
        <w:t>Todo o inciso VI do artigo 150 delas cuida, tendo a seguinte dicção:</w:t>
      </w:r>
    </w:p>
    <w:p w:rsidR="00F43EF8" w:rsidRPr="00F43EF8" w:rsidRDefault="00F43EF8" w:rsidP="00F43EF8">
      <w:pPr>
        <w:pStyle w:val="NormalWeb"/>
        <w:spacing w:before="0" w:beforeAutospacing="0" w:after="0" w:afterAutospacing="0"/>
        <w:jc w:val="both"/>
        <w:rPr>
          <w:rFonts w:ascii="Verdana" w:hAnsi="Verdana"/>
        </w:rPr>
      </w:pPr>
      <w:r w:rsidRPr="00F43EF8">
        <w:rPr>
          <w:rFonts w:ascii="Verdana" w:hAnsi="Verdana" w:cs="Arial"/>
          <w:color w:val="000000"/>
        </w:rPr>
        <w:t xml:space="preserve">“Art. 150. Sem prejuízo de outras garantias asseguradas ao </w:t>
      </w:r>
      <w:r w:rsidRPr="00F43EF8">
        <w:rPr>
          <w:rFonts w:ascii="Verdana" w:hAnsi="Verdana" w:cs="Arial"/>
        </w:rPr>
        <w:t>contribuinte, é vedado à União, aos Estados, ao Distrito Federal e aos Municípios:</w:t>
      </w:r>
    </w:p>
    <w:p w:rsidR="00F43EF8" w:rsidRPr="00F43EF8" w:rsidRDefault="00F43EF8" w:rsidP="00F43EF8">
      <w:pPr>
        <w:pStyle w:val="NormalWeb"/>
        <w:spacing w:before="0" w:beforeAutospacing="0" w:after="0" w:afterAutospacing="0"/>
        <w:ind w:firstLine="525"/>
        <w:jc w:val="both"/>
        <w:rPr>
          <w:rFonts w:ascii="Verdana" w:hAnsi="Verdana"/>
        </w:rPr>
      </w:pPr>
      <w:r w:rsidRPr="00F43EF8">
        <w:rPr>
          <w:rFonts w:ascii="Verdana" w:hAnsi="Verdana" w:cs="Arial"/>
        </w:rPr>
        <w:t>..................</w:t>
      </w:r>
    </w:p>
    <w:p w:rsidR="00F43EF8" w:rsidRPr="00F43EF8" w:rsidRDefault="00F43EF8" w:rsidP="00F43EF8">
      <w:pPr>
        <w:pStyle w:val="NormalWeb"/>
        <w:spacing w:before="0" w:beforeAutospacing="0" w:after="0" w:afterAutospacing="0"/>
        <w:ind w:firstLine="525"/>
        <w:jc w:val="both"/>
        <w:rPr>
          <w:rFonts w:ascii="Verdana" w:hAnsi="Verdana"/>
        </w:rPr>
      </w:pPr>
      <w:r w:rsidRPr="00F43EF8">
        <w:rPr>
          <w:rFonts w:ascii="Verdana" w:hAnsi="Verdana" w:cs="Arial"/>
        </w:rPr>
        <w:t>VI - instituir impostos sobre:</w:t>
      </w:r>
    </w:p>
    <w:p w:rsidR="00F43EF8" w:rsidRPr="00F43EF8" w:rsidRDefault="00F43EF8" w:rsidP="00F43EF8">
      <w:pPr>
        <w:pStyle w:val="NormalWeb"/>
        <w:spacing w:before="0" w:beforeAutospacing="0" w:after="0" w:afterAutospacing="0"/>
        <w:ind w:firstLine="525"/>
        <w:jc w:val="both"/>
        <w:rPr>
          <w:rFonts w:ascii="Verdana" w:hAnsi="Verdana"/>
        </w:rPr>
      </w:pPr>
      <w:r w:rsidRPr="00F43EF8">
        <w:rPr>
          <w:rFonts w:ascii="Verdana" w:hAnsi="Verdana" w:cs="Arial"/>
        </w:rPr>
        <w:t>a) patrimônio, renda ou serviços, uns dos outros;</w:t>
      </w:r>
    </w:p>
    <w:p w:rsidR="00F43EF8" w:rsidRPr="00F43EF8" w:rsidRDefault="00F43EF8" w:rsidP="00F43EF8">
      <w:pPr>
        <w:pStyle w:val="NormalWeb"/>
        <w:spacing w:before="0" w:beforeAutospacing="0" w:after="0" w:afterAutospacing="0"/>
        <w:ind w:firstLine="525"/>
        <w:jc w:val="both"/>
        <w:rPr>
          <w:rFonts w:ascii="Verdana" w:hAnsi="Verdana"/>
        </w:rPr>
      </w:pPr>
      <w:r w:rsidRPr="00F43EF8">
        <w:rPr>
          <w:rFonts w:ascii="Verdana" w:hAnsi="Verdana" w:cs="Arial"/>
        </w:rPr>
        <w:t>b) templos de qualquer culto;</w:t>
      </w:r>
    </w:p>
    <w:p w:rsidR="00F43EF8" w:rsidRPr="00F43EF8" w:rsidRDefault="00F43EF8" w:rsidP="00F43EF8">
      <w:pPr>
        <w:pStyle w:val="NormalWeb"/>
        <w:spacing w:before="0" w:beforeAutospacing="0" w:after="0" w:afterAutospacing="0"/>
        <w:ind w:firstLine="525"/>
        <w:jc w:val="both"/>
        <w:rPr>
          <w:rFonts w:ascii="Verdana" w:hAnsi="Verdana"/>
        </w:rPr>
      </w:pPr>
      <w:r w:rsidRPr="00F43EF8">
        <w:rPr>
          <w:rFonts w:ascii="Verdana" w:hAnsi="Verdana" w:cs="Arial"/>
        </w:rPr>
        <w:t>c) patrimônio, renda ou serviços dos partidos políticos, inclusive suas fundações, das entidades sindicais dos trabalhadores, das instituições de educação e de assistência social, sem fins lucrativos, atendidos os requisitos da lei;</w:t>
      </w:r>
    </w:p>
    <w:p w:rsidR="00F43EF8" w:rsidRPr="00F43EF8" w:rsidRDefault="00F43EF8" w:rsidP="00F43EF8">
      <w:pPr>
        <w:pStyle w:val="NormalWeb"/>
        <w:spacing w:before="0" w:beforeAutospacing="0" w:after="0" w:afterAutospacing="0"/>
        <w:ind w:firstLine="525"/>
        <w:jc w:val="both"/>
        <w:rPr>
          <w:rFonts w:ascii="Verdana" w:hAnsi="Verdana"/>
        </w:rPr>
      </w:pPr>
      <w:r w:rsidRPr="00F43EF8">
        <w:rPr>
          <w:rFonts w:ascii="Verdana" w:hAnsi="Verdana" w:cs="Arial"/>
        </w:rPr>
        <w:t xml:space="preserve">d) livros, jornais, </w:t>
      </w:r>
      <w:r w:rsidR="00425C3F">
        <w:rPr>
          <w:rFonts w:ascii="Verdana" w:hAnsi="Verdana" w:cs="Arial"/>
        </w:rPr>
        <w:t>periódicos e o papel destinado à</w:t>
      </w:r>
      <w:r w:rsidRPr="00F43EF8">
        <w:rPr>
          <w:rFonts w:ascii="Verdana" w:hAnsi="Verdana" w:cs="Arial"/>
        </w:rPr>
        <w:t xml:space="preserve"> sua impressão.</w:t>
      </w:r>
    </w:p>
    <w:p w:rsidR="00DA1CDC" w:rsidRPr="00F43EF8" w:rsidRDefault="00F43EF8" w:rsidP="00F43EF8">
      <w:pPr>
        <w:pStyle w:val="NormalWeb"/>
        <w:spacing w:before="0" w:beforeAutospacing="0" w:after="0" w:afterAutospacing="0"/>
        <w:ind w:firstLine="525"/>
        <w:jc w:val="both"/>
        <w:rPr>
          <w:rFonts w:ascii="Verdana" w:hAnsi="Verdana" w:cs="Arial"/>
        </w:rPr>
      </w:pPr>
      <w:r w:rsidRPr="00F43EF8">
        <w:rPr>
          <w:rFonts w:ascii="Verdana" w:hAnsi="Verdana" w:cs="Arial"/>
        </w:rPr>
        <w:t xml:space="preserve">e) fonogramas e videofonogramas musicais produzidos no Brasil contendo obras musicais ou </w:t>
      </w:r>
      <w:proofErr w:type="spellStart"/>
      <w:r w:rsidRPr="00F43EF8">
        <w:rPr>
          <w:rFonts w:ascii="Verdana" w:hAnsi="Verdana" w:cs="Arial"/>
        </w:rPr>
        <w:t>literomusicais</w:t>
      </w:r>
      <w:proofErr w:type="spellEnd"/>
      <w:r w:rsidRPr="00F43EF8">
        <w:rPr>
          <w:rFonts w:ascii="Verdana" w:hAnsi="Verdana" w:cs="Arial"/>
        </w:rPr>
        <w:t xml:space="preserve"> de autores brasileiros e/ou obras em geral interpretadas por artistas brasileiros bem como os suportes materiais ou arquivos digitais que os contenham, salvo na etapa de replicação industrial de mídias ópticas de leitura a laser.</w:t>
      </w:r>
      <w:r w:rsidRPr="00F43EF8">
        <w:rPr>
          <w:rStyle w:val="apple-converted-space"/>
          <w:rFonts w:ascii="Verdana" w:hAnsi="Verdana" w:cs="Arial"/>
        </w:rPr>
        <w:t> </w:t>
      </w:r>
      <w:hyperlink r:id="rId2" w:anchor="art1" w:history="1">
        <w:r w:rsidRPr="00F43EF8">
          <w:rPr>
            <w:rStyle w:val="Hyperlink"/>
            <w:rFonts w:ascii="Verdana" w:hAnsi="Verdana" w:cs="Arial"/>
            <w:color w:val="auto"/>
          </w:rPr>
          <w:t>(Incluída pela Emenda Constitucional nº 75, de 15.10.2013)</w:t>
        </w:r>
      </w:hyperlink>
      <w:r w:rsidRPr="00F43EF8">
        <w:rPr>
          <w:rFonts w:ascii="Verdana" w:hAnsi="Verdana" w:cs="Arial"/>
        </w:rPr>
        <w:t>.”</w:t>
      </w:r>
    </w:p>
    <w:p w:rsidR="00F43EF8" w:rsidRPr="00F43EF8" w:rsidRDefault="00F43EF8" w:rsidP="00F43EF8">
      <w:pPr>
        <w:pStyle w:val="NormalWeb"/>
        <w:spacing w:before="0" w:beforeAutospacing="0" w:after="0" w:afterAutospacing="0"/>
        <w:ind w:firstLine="525"/>
        <w:rPr>
          <w:sz w:val="20"/>
          <w:szCs w:val="20"/>
        </w:rPr>
      </w:pPr>
    </w:p>
  </w:footnote>
  <w:footnote w:id="8">
    <w:p w:rsidR="00BD39D4" w:rsidRPr="00243E98" w:rsidRDefault="00BD39D4" w:rsidP="00F43EF8">
      <w:pPr>
        <w:pStyle w:val="Textodenotaderodap"/>
        <w:jc w:val="both"/>
        <w:rPr>
          <w:rFonts w:ascii="Verdana" w:hAnsi="Verdana"/>
          <w:sz w:val="24"/>
          <w:szCs w:val="24"/>
        </w:rPr>
      </w:pPr>
      <w:r w:rsidRPr="00243E98">
        <w:rPr>
          <w:rStyle w:val="Refdenotaderodap"/>
          <w:rFonts w:ascii="Verdana" w:hAnsi="Verdana"/>
          <w:sz w:val="24"/>
          <w:szCs w:val="24"/>
        </w:rPr>
        <w:footnoteRef/>
      </w:r>
      <w:r w:rsidRPr="00243E98">
        <w:rPr>
          <w:rFonts w:ascii="Verdana" w:hAnsi="Verdana"/>
          <w:sz w:val="24"/>
          <w:szCs w:val="24"/>
        </w:rPr>
        <w:t xml:space="preserve">  O Ministro Marco Aurélio de Mello, na Repercussão Geral nº 566.622/RS, esclarece:</w:t>
      </w:r>
    </w:p>
    <w:p w:rsidR="00BD39D4" w:rsidRPr="00243E98" w:rsidRDefault="00BD39D4" w:rsidP="00243E98">
      <w:pPr>
        <w:pStyle w:val="Textodenotaderodap"/>
        <w:jc w:val="both"/>
        <w:rPr>
          <w:rFonts w:ascii="Verdana" w:hAnsi="Verdana"/>
          <w:sz w:val="24"/>
          <w:szCs w:val="24"/>
        </w:rPr>
      </w:pPr>
      <w:r w:rsidRPr="00243E98">
        <w:rPr>
          <w:rFonts w:ascii="Verdana" w:hAnsi="Verdana"/>
          <w:sz w:val="24"/>
          <w:szCs w:val="24"/>
        </w:rPr>
        <w:t xml:space="preserve">“O § 7º do artigo 195 deve ser interpretado e aplicado em conjunto com o preceito constitucional transcrito, afastando-se dúvida quanto à reserva exclusiva de lei complementar para a disciplina das condições a serem observadas no exercício do direito à imunidade”, completando:  </w:t>
      </w:r>
    </w:p>
    <w:p w:rsidR="00BD39D4" w:rsidRPr="00243E98" w:rsidRDefault="00BD39D4" w:rsidP="00243E98">
      <w:pPr>
        <w:pStyle w:val="Textodenotaderodap"/>
        <w:jc w:val="both"/>
        <w:rPr>
          <w:rFonts w:ascii="Verdana" w:hAnsi="Verdana"/>
          <w:sz w:val="24"/>
          <w:szCs w:val="24"/>
        </w:rPr>
      </w:pPr>
      <w:r w:rsidRPr="00243E98">
        <w:rPr>
          <w:rFonts w:ascii="Verdana" w:hAnsi="Verdana"/>
          <w:sz w:val="24"/>
          <w:szCs w:val="24"/>
        </w:rPr>
        <w:t>“Segundo  o professor Ives Gandra da Silva Martins, "há, assim, uma</w:t>
      </w:r>
    </w:p>
    <w:p w:rsidR="00BD39D4" w:rsidRPr="00243E98" w:rsidRDefault="00BD39D4" w:rsidP="00243E98">
      <w:pPr>
        <w:pStyle w:val="Textodenotaderodap"/>
        <w:jc w:val="both"/>
        <w:rPr>
          <w:rFonts w:ascii="Verdana" w:hAnsi="Verdana"/>
          <w:sz w:val="24"/>
          <w:szCs w:val="24"/>
        </w:rPr>
      </w:pPr>
      <w:r w:rsidRPr="00243E98">
        <w:rPr>
          <w:rFonts w:ascii="Verdana" w:hAnsi="Verdana"/>
          <w:sz w:val="24"/>
          <w:szCs w:val="24"/>
        </w:rPr>
        <w:t>causa e uma condição para a entidade usufruir a imunidade. A causa da imunidade é ser uma das entidades enumeradas pelo artigo 150, inciso VI, c, da CF. A causa advém da Constituição. A condição da imunidade é manter o atendimento aos requisitos especificados no CTN. A condição advém do CTN" (MARTINS, Ives Gandra da Silva. Imunidade de Instituições sem Fins Lucrativos Dedicadas à Previdência e Assistência Social, Direito Público n 1, julho-agosto-setembro de 2003, p. 8).</w:t>
      </w:r>
    </w:p>
    <w:p w:rsidR="00BD39D4" w:rsidRPr="00243E98" w:rsidRDefault="00BD39D4" w:rsidP="00243E98">
      <w:pPr>
        <w:pStyle w:val="Textodenotaderodap"/>
        <w:jc w:val="both"/>
        <w:rPr>
          <w:rFonts w:ascii="Verdana" w:hAnsi="Verdana"/>
          <w:sz w:val="24"/>
          <w:szCs w:val="24"/>
        </w:rPr>
      </w:pPr>
      <w:r w:rsidRPr="00243E98">
        <w:rPr>
          <w:rFonts w:ascii="Verdana" w:hAnsi="Verdana"/>
          <w:sz w:val="24"/>
          <w:szCs w:val="24"/>
        </w:rPr>
        <w:t xml:space="preserve">A questão discutida neste recurso, considerado o artigo 55 da Lei n 8.212, de 1991, envolve definir se condições diversas, além daquelas previstas no Código Tributário Nacional, podem estar versadas em lei ordinária. De acordo com o próprio Ives Gandra, a </w:t>
      </w:r>
      <w:r w:rsidR="00425C3F">
        <w:rPr>
          <w:rFonts w:ascii="Verdana" w:hAnsi="Verdana"/>
          <w:sz w:val="24"/>
          <w:szCs w:val="24"/>
        </w:rPr>
        <w:t xml:space="preserve">resposta é </w:t>
      </w:r>
      <w:proofErr w:type="spellStart"/>
      <w:r w:rsidR="00425C3F">
        <w:rPr>
          <w:rFonts w:ascii="Verdana" w:hAnsi="Verdana"/>
          <w:sz w:val="24"/>
          <w:szCs w:val="24"/>
        </w:rPr>
        <w:t>desenganadam</w:t>
      </w:r>
      <w:r w:rsidRPr="00243E98">
        <w:rPr>
          <w:rFonts w:ascii="Verdana" w:hAnsi="Verdana"/>
          <w:sz w:val="24"/>
          <w:szCs w:val="24"/>
        </w:rPr>
        <w:t>ente</w:t>
      </w:r>
      <w:proofErr w:type="spellEnd"/>
      <w:r w:rsidRPr="00243E98">
        <w:rPr>
          <w:rFonts w:ascii="Verdana" w:hAnsi="Verdana"/>
          <w:sz w:val="24"/>
          <w:szCs w:val="24"/>
        </w:rPr>
        <w:t xml:space="preserve"> negativa:</w:t>
      </w:r>
    </w:p>
    <w:p w:rsidR="00BD39D4" w:rsidRPr="00243E98" w:rsidRDefault="00BD39D4" w:rsidP="00243E98">
      <w:pPr>
        <w:pStyle w:val="Textodenotaderodap"/>
        <w:jc w:val="both"/>
        <w:rPr>
          <w:rFonts w:ascii="Verdana" w:hAnsi="Verdana"/>
          <w:sz w:val="24"/>
          <w:szCs w:val="24"/>
        </w:rPr>
      </w:pPr>
      <w:r w:rsidRPr="00243E98">
        <w:rPr>
          <w:rFonts w:ascii="Verdana" w:hAnsi="Verdana"/>
          <w:sz w:val="24"/>
          <w:szCs w:val="24"/>
        </w:rPr>
        <w:t>Nenhuma lei ordinária de qualquer poder tributante pode criar requisitos adicionais, impondo ônus que o constituinte deliberadamente quis afastar. Todos os requisitos acrescentados ao restrito elenco do artigo 14 são inconstitucionais, em face de não possuir o Poder Tributante, nas 3 esferas, nenhuma força legislativa suplementar. Apenas a lei complementar pode impor condições. Nunca a lei ordinária, que, no máximo, pode reproduzir os comandos superiores. (MARTINS, Ives Gandra da Silva. Entidades sem fins lucrativos com finalidades culturais e filantrópicas - Imunidade constitucional de impostos e contribuições sociais - Parecer. Caderno de Direito Tributário e Finanças Públicas Vol. 4, 1994, p. 83)</w:t>
      </w:r>
    </w:p>
    <w:p w:rsidR="00BD39D4" w:rsidRPr="00243E98" w:rsidRDefault="00BD39D4" w:rsidP="00243E98">
      <w:pPr>
        <w:pStyle w:val="Textodenotaderodap"/>
        <w:jc w:val="both"/>
        <w:rPr>
          <w:rFonts w:ascii="Verdana" w:hAnsi="Verdana"/>
          <w:sz w:val="24"/>
          <w:szCs w:val="24"/>
        </w:rPr>
      </w:pPr>
      <w:r w:rsidRPr="00243E98">
        <w:rPr>
          <w:rFonts w:ascii="Verdana" w:hAnsi="Verdana"/>
          <w:sz w:val="24"/>
          <w:szCs w:val="24"/>
        </w:rPr>
        <w:t xml:space="preserve">Da necessidade de interpretar </w:t>
      </w:r>
      <w:proofErr w:type="spellStart"/>
      <w:r w:rsidRPr="00243E98">
        <w:rPr>
          <w:rFonts w:ascii="Verdana" w:hAnsi="Verdana"/>
          <w:sz w:val="24"/>
          <w:szCs w:val="24"/>
        </w:rPr>
        <w:t>teleologicamente</w:t>
      </w:r>
      <w:proofErr w:type="spellEnd"/>
      <w:r w:rsidRPr="00243E98">
        <w:rPr>
          <w:rFonts w:ascii="Verdana" w:hAnsi="Verdana"/>
          <w:sz w:val="24"/>
          <w:szCs w:val="24"/>
        </w:rPr>
        <w:t xml:space="preserve"> as imunidades tributárias, amplamente reconhecida pelo Supremo como meio ótimo de realização dos valores e princípios subjacentes às regras imunizantes, resulta o dever corolário de interpretar estritamente as cláusulas restritivas relacionadas, inclusive a constitucional. Daí advém a reserva absoluta de lei complementar, conforme o artigo 146, inciso II, da Carta de 1988, para a disciplina das condições referidas no § 7- do artigo 195, sob pena de negar seja a imunidade discutida uma "limitação ao poder de</w:t>
      </w:r>
    </w:p>
    <w:p w:rsidR="00BD39D4" w:rsidRPr="00243E98" w:rsidRDefault="00BD39D4" w:rsidP="00243E98">
      <w:pPr>
        <w:pStyle w:val="Textodenotaderodap"/>
        <w:jc w:val="both"/>
        <w:rPr>
          <w:rFonts w:ascii="Verdana" w:hAnsi="Verdana"/>
          <w:sz w:val="24"/>
          <w:szCs w:val="24"/>
        </w:rPr>
      </w:pPr>
      <w:r w:rsidRPr="00243E98">
        <w:rPr>
          <w:rFonts w:ascii="Verdana" w:hAnsi="Verdana"/>
          <w:sz w:val="24"/>
          <w:szCs w:val="24"/>
        </w:rPr>
        <w:t>Tributar” (RE 566.622/RS, Site do STF).</w:t>
      </w:r>
    </w:p>
    <w:p w:rsidR="00BD39D4" w:rsidRPr="00243E98" w:rsidRDefault="00BD39D4" w:rsidP="00243E98">
      <w:pPr>
        <w:pStyle w:val="Textodenotaderodap"/>
        <w:jc w:val="both"/>
        <w:rPr>
          <w:rFonts w:ascii="Verdana" w:hAnsi="Verdana"/>
          <w:sz w:val="24"/>
          <w:szCs w:val="24"/>
        </w:rPr>
      </w:pPr>
    </w:p>
    <w:p w:rsidR="00BD39D4" w:rsidRPr="00243E98" w:rsidRDefault="00BD39D4" w:rsidP="00243E98">
      <w:pPr>
        <w:pStyle w:val="Textodenotaderodap"/>
        <w:jc w:val="both"/>
        <w:rPr>
          <w:rFonts w:ascii="Verdana" w:hAnsi="Verdana"/>
          <w:sz w:val="24"/>
          <w:szCs w:val="24"/>
        </w:rPr>
      </w:pPr>
    </w:p>
  </w:footnote>
  <w:footnote w:id="9">
    <w:p w:rsidR="00BD39D4" w:rsidRPr="00243E98" w:rsidRDefault="00BD39D4" w:rsidP="00243E98">
      <w:pPr>
        <w:pStyle w:val="Textodenotaderodap"/>
        <w:jc w:val="both"/>
        <w:rPr>
          <w:rFonts w:ascii="Verdana" w:hAnsi="Verdana"/>
          <w:sz w:val="24"/>
          <w:szCs w:val="24"/>
        </w:rPr>
      </w:pPr>
      <w:r w:rsidRPr="00243E98">
        <w:rPr>
          <w:rStyle w:val="Refdenotaderodap"/>
          <w:rFonts w:ascii="Verdana" w:hAnsi="Verdana"/>
          <w:sz w:val="24"/>
          <w:szCs w:val="24"/>
        </w:rPr>
        <w:footnoteRef/>
      </w:r>
      <w:r w:rsidRPr="00243E98">
        <w:rPr>
          <w:rFonts w:ascii="Verdana" w:hAnsi="Verdana"/>
          <w:sz w:val="24"/>
          <w:szCs w:val="24"/>
        </w:rPr>
        <w:t xml:space="preserve"> Memorial da FONIF para o STF</w:t>
      </w:r>
      <w:r w:rsidR="002A3345">
        <w:rPr>
          <w:rFonts w:ascii="Verdana" w:hAnsi="Verdana"/>
          <w:sz w:val="24"/>
          <w:szCs w:val="24"/>
        </w:rPr>
        <w:t xml:space="preserve"> na ADIN 2028/99</w:t>
      </w:r>
      <w:r w:rsidRPr="00243E98">
        <w:rPr>
          <w:rFonts w:ascii="Verdana" w:hAnsi="Verdana"/>
          <w:sz w:val="24"/>
          <w:szCs w:val="24"/>
        </w:rPr>
        <w:t>.</w:t>
      </w:r>
    </w:p>
    <w:p w:rsidR="00BD39D4" w:rsidRPr="00243E98" w:rsidRDefault="00BD39D4" w:rsidP="00243E98">
      <w:pPr>
        <w:pStyle w:val="Textodenotaderodap"/>
        <w:jc w:val="both"/>
        <w:rPr>
          <w:rFonts w:ascii="Verdana" w:hAnsi="Verdana"/>
          <w:sz w:val="24"/>
          <w:szCs w:val="24"/>
        </w:rPr>
      </w:pPr>
    </w:p>
  </w:footnote>
  <w:footnote w:id="10">
    <w:p w:rsidR="00BD39D4" w:rsidRPr="00243E98" w:rsidRDefault="00BD39D4" w:rsidP="00243E98">
      <w:pPr>
        <w:pStyle w:val="Textodenotaderodap"/>
        <w:jc w:val="both"/>
        <w:rPr>
          <w:rFonts w:ascii="Verdana" w:hAnsi="Verdana"/>
          <w:sz w:val="24"/>
          <w:szCs w:val="24"/>
        </w:rPr>
      </w:pPr>
      <w:r w:rsidRPr="00243E98">
        <w:rPr>
          <w:rStyle w:val="Refdenotaderodap"/>
          <w:rFonts w:ascii="Verdana" w:hAnsi="Verdana"/>
          <w:sz w:val="24"/>
          <w:szCs w:val="24"/>
        </w:rPr>
        <w:footnoteRef/>
      </w:r>
      <w:r w:rsidRPr="00243E98">
        <w:rPr>
          <w:rFonts w:ascii="Verdana" w:hAnsi="Verdana"/>
          <w:sz w:val="24"/>
          <w:szCs w:val="24"/>
        </w:rPr>
        <w:t xml:space="preserve">  Celso Ribeiro Bastos escreveu:</w:t>
      </w:r>
    </w:p>
    <w:p w:rsidR="00BD39D4" w:rsidRPr="00243E98" w:rsidRDefault="00BD39D4" w:rsidP="00243E98">
      <w:pPr>
        <w:pStyle w:val="Textodenotaderodap"/>
        <w:jc w:val="both"/>
        <w:rPr>
          <w:rFonts w:ascii="Verdana" w:hAnsi="Verdana"/>
          <w:sz w:val="24"/>
          <w:szCs w:val="24"/>
        </w:rPr>
      </w:pPr>
      <w:r w:rsidRPr="00243E98">
        <w:rPr>
          <w:rFonts w:ascii="Verdana" w:hAnsi="Verdana"/>
          <w:sz w:val="24"/>
          <w:szCs w:val="24"/>
        </w:rPr>
        <w:t>“Este artigo e seus dois incisos preceituam que os recursos públicos</w:t>
      </w:r>
    </w:p>
    <w:p w:rsidR="00BD39D4" w:rsidRPr="00243E98" w:rsidRDefault="00BD39D4" w:rsidP="00243E98">
      <w:pPr>
        <w:pStyle w:val="Textodenotaderodap"/>
        <w:jc w:val="both"/>
        <w:rPr>
          <w:rFonts w:ascii="Verdana" w:hAnsi="Verdana"/>
          <w:sz w:val="24"/>
          <w:szCs w:val="24"/>
        </w:rPr>
      </w:pPr>
      <w:r w:rsidRPr="00243E98">
        <w:rPr>
          <w:rFonts w:ascii="Verdana" w:hAnsi="Verdana"/>
          <w:sz w:val="24"/>
          <w:szCs w:val="24"/>
        </w:rPr>
        <w:t>serão destinados às escolas públicas, podendo ser dirigidos a escolas</w:t>
      </w:r>
    </w:p>
    <w:p w:rsidR="00BD39D4" w:rsidRPr="00243E98" w:rsidRDefault="00BD39D4" w:rsidP="00243E98">
      <w:pPr>
        <w:pStyle w:val="Textodenotaderodap"/>
        <w:jc w:val="both"/>
        <w:rPr>
          <w:rFonts w:ascii="Verdana" w:hAnsi="Verdana"/>
          <w:sz w:val="24"/>
          <w:szCs w:val="24"/>
        </w:rPr>
      </w:pPr>
      <w:r w:rsidRPr="00243E98">
        <w:rPr>
          <w:rFonts w:ascii="Verdana" w:hAnsi="Verdana"/>
          <w:sz w:val="24"/>
          <w:szCs w:val="24"/>
        </w:rPr>
        <w:t>comunitárias confessionais ou filantrópicas definidas em lei, que: a)</w:t>
      </w:r>
    </w:p>
    <w:p w:rsidR="00BD39D4" w:rsidRPr="00243E98" w:rsidRDefault="00BD39D4" w:rsidP="00243E98">
      <w:pPr>
        <w:pStyle w:val="Textodenotaderodap"/>
        <w:jc w:val="both"/>
        <w:rPr>
          <w:rFonts w:ascii="Verdana" w:hAnsi="Verdana"/>
          <w:sz w:val="24"/>
          <w:szCs w:val="24"/>
        </w:rPr>
      </w:pPr>
      <w:r w:rsidRPr="00243E98">
        <w:rPr>
          <w:rFonts w:ascii="Verdana" w:hAnsi="Verdana"/>
          <w:sz w:val="24"/>
          <w:szCs w:val="24"/>
        </w:rPr>
        <w:t xml:space="preserve">comprovem finalidade não lucrativa e apliquem seus excedentes financeiros em educação; b) assegurem a destinação de seu patrimônio a outra escola comunitária, filantrópica ou confessional, ou ao </w:t>
      </w:r>
      <w:smartTag w:uri="urn:schemas-microsoft-com:office:smarttags" w:element="PersonName">
        <w:smartTagPr>
          <w:attr w:name="ProductID" w:val="poder p￺blico"/>
        </w:smartTagPr>
        <w:r w:rsidRPr="00243E98">
          <w:rPr>
            <w:rFonts w:ascii="Verdana" w:hAnsi="Verdana"/>
            <w:sz w:val="24"/>
            <w:szCs w:val="24"/>
          </w:rPr>
          <w:t>Poder Público</w:t>
        </w:r>
      </w:smartTag>
      <w:r w:rsidRPr="00243E98">
        <w:rPr>
          <w:rFonts w:ascii="Verdana" w:hAnsi="Verdana"/>
          <w:sz w:val="24"/>
          <w:szCs w:val="24"/>
        </w:rPr>
        <w:t xml:space="preserve">, no caso de encerramento de suas atividades. Podemos observar que nenhuma de nossas Constituições anteriores dispôs sobre essa matéria. Apenas a Emenda Constitucional n. 1/69 estabelecia, em seu art. 176, § 2.°, que, respeitadas as disposições legais, o ensino era livre à iniciativa particular, a qual mereceria o amparo técnico e financeiro dos Poderes Públicos, inclusive mediante bolsas de estudos” (Comentários à Constituição do Brasil, 8º volume, Ed. Saraiva, </w:t>
      </w:r>
      <w:smartTag w:uri="urn:schemas-microsoft-com:office:smarttags" w:element="PersonName">
        <w:smartTagPr>
          <w:attr w:name="ProductID" w:val="S￣o Paulo,"/>
        </w:smartTagPr>
        <w:r w:rsidRPr="00243E98">
          <w:rPr>
            <w:rFonts w:ascii="Verdana" w:hAnsi="Verdana"/>
            <w:sz w:val="24"/>
            <w:szCs w:val="24"/>
          </w:rPr>
          <w:t>São Paulo,</w:t>
        </w:r>
      </w:smartTag>
      <w:r w:rsidRPr="00243E98">
        <w:rPr>
          <w:rFonts w:ascii="Verdana" w:hAnsi="Verdana"/>
          <w:sz w:val="24"/>
          <w:szCs w:val="24"/>
        </w:rPr>
        <w:t xml:space="preserve"> 2000, p. 729).</w:t>
      </w:r>
    </w:p>
    <w:p w:rsidR="00BD39D4" w:rsidRPr="00243E98" w:rsidRDefault="00BD39D4" w:rsidP="00243E98">
      <w:pPr>
        <w:pStyle w:val="Textodenotaderodap"/>
        <w:jc w:val="both"/>
        <w:rPr>
          <w:rFonts w:ascii="Verdana" w:hAnsi="Verdana"/>
          <w:sz w:val="24"/>
          <w:szCs w:val="24"/>
        </w:rPr>
      </w:pPr>
    </w:p>
  </w:footnote>
  <w:footnote w:id="11">
    <w:p w:rsidR="00BD39D4" w:rsidRPr="00243E98" w:rsidRDefault="00BD39D4" w:rsidP="00243E98">
      <w:pPr>
        <w:spacing w:after="0" w:line="240" w:lineRule="auto"/>
        <w:jc w:val="both"/>
        <w:rPr>
          <w:rFonts w:ascii="Verdana" w:hAnsi="Verdana" w:cs="Times New Roman"/>
          <w:sz w:val="24"/>
          <w:szCs w:val="24"/>
        </w:rPr>
      </w:pPr>
      <w:r w:rsidRPr="00243E98">
        <w:rPr>
          <w:rStyle w:val="Refdenotaderodap"/>
          <w:rFonts w:ascii="Verdana" w:hAnsi="Verdana"/>
          <w:sz w:val="24"/>
          <w:szCs w:val="24"/>
        </w:rPr>
        <w:footnoteRef/>
      </w:r>
      <w:r w:rsidRPr="00243E98">
        <w:rPr>
          <w:rFonts w:ascii="Verdana" w:hAnsi="Verdana"/>
          <w:sz w:val="24"/>
          <w:szCs w:val="24"/>
        </w:rPr>
        <w:t xml:space="preserve">  </w:t>
      </w:r>
      <w:r w:rsidRPr="00243E98">
        <w:rPr>
          <w:rFonts w:ascii="Verdana" w:hAnsi="Verdana" w:cs="Times New Roman"/>
          <w:sz w:val="24"/>
          <w:szCs w:val="24"/>
        </w:rPr>
        <w:t>RECURSO EXTRAORDINÁRIO 566.622/RS.</w:t>
      </w:r>
    </w:p>
    <w:p w:rsidR="00BD39D4" w:rsidRPr="00243E98" w:rsidRDefault="00BD39D4" w:rsidP="00243E98">
      <w:pPr>
        <w:pStyle w:val="Textodenotaderodap"/>
        <w:jc w:val="both"/>
        <w:rPr>
          <w:rFonts w:ascii="Verdana" w:hAnsi="Verdana"/>
          <w:sz w:val="24"/>
          <w:szCs w:val="24"/>
        </w:rPr>
      </w:pPr>
    </w:p>
  </w:footnote>
  <w:footnote w:id="12">
    <w:p w:rsidR="00BD39D4" w:rsidRPr="00243E98" w:rsidRDefault="00BD39D4" w:rsidP="00243E98">
      <w:pPr>
        <w:spacing w:after="0" w:line="240" w:lineRule="auto"/>
        <w:jc w:val="both"/>
        <w:rPr>
          <w:rFonts w:ascii="Verdana" w:hAnsi="Verdana" w:cs="Times New Roman"/>
          <w:sz w:val="24"/>
          <w:szCs w:val="24"/>
        </w:rPr>
      </w:pPr>
      <w:r w:rsidRPr="00243E98">
        <w:rPr>
          <w:rStyle w:val="Refdenotaderodap"/>
          <w:rFonts w:ascii="Verdana" w:hAnsi="Verdana"/>
          <w:sz w:val="24"/>
          <w:szCs w:val="24"/>
        </w:rPr>
        <w:footnoteRef/>
      </w:r>
      <w:r w:rsidRPr="00243E98">
        <w:rPr>
          <w:rFonts w:ascii="Verdana" w:hAnsi="Verdana"/>
          <w:sz w:val="24"/>
          <w:szCs w:val="24"/>
        </w:rPr>
        <w:t xml:space="preserve">  </w:t>
      </w:r>
      <w:r w:rsidRPr="00243E98">
        <w:rPr>
          <w:rFonts w:ascii="Verdana" w:hAnsi="Verdana" w:cs="Times New Roman"/>
          <w:sz w:val="24"/>
          <w:szCs w:val="24"/>
        </w:rPr>
        <w:t>PLENÁRIO, CERTIDÃO DE JULGAMENTO, AÇÀO DIRETA DE INCON</w:t>
      </w:r>
      <w:r w:rsidR="0017131B">
        <w:rPr>
          <w:rFonts w:ascii="Verdana" w:hAnsi="Verdana" w:cs="Times New Roman"/>
          <w:sz w:val="24"/>
          <w:szCs w:val="24"/>
        </w:rPr>
        <w:t>STITUCIONALIDADE 2.028, PROCED.: DISTRITO FEDERAL, RELATOR</w:t>
      </w:r>
      <w:r w:rsidRPr="00243E98">
        <w:rPr>
          <w:rFonts w:ascii="Verdana" w:hAnsi="Verdana" w:cs="Times New Roman"/>
          <w:sz w:val="24"/>
          <w:szCs w:val="24"/>
        </w:rPr>
        <w:t>: M</w:t>
      </w:r>
      <w:r w:rsidR="0017131B">
        <w:rPr>
          <w:rFonts w:ascii="Verdana" w:hAnsi="Verdana" w:cs="Times New Roman"/>
          <w:sz w:val="24"/>
          <w:szCs w:val="24"/>
        </w:rPr>
        <w:t>IN. JOAQUIM BARBOSA, REQTE.(S)</w:t>
      </w:r>
      <w:r w:rsidRPr="00243E98">
        <w:rPr>
          <w:rFonts w:ascii="Verdana" w:hAnsi="Verdana" w:cs="Times New Roman"/>
          <w:sz w:val="24"/>
          <w:szCs w:val="24"/>
        </w:rPr>
        <w:t>: CONFEDERAÇÃO NACIONAL DE SAÚDE-HOSPITAIS, ESTABELECIMENTOS E SERVIÇOS –</w:t>
      </w:r>
      <w:r w:rsidR="0017131B">
        <w:rPr>
          <w:rFonts w:ascii="Verdana" w:hAnsi="Verdana" w:cs="Times New Roman"/>
          <w:sz w:val="24"/>
          <w:szCs w:val="24"/>
        </w:rPr>
        <w:t xml:space="preserve"> CNS, ADV. (AIS)</w:t>
      </w:r>
      <w:r w:rsidRPr="00243E98">
        <w:rPr>
          <w:rFonts w:ascii="Verdana" w:hAnsi="Verdana" w:cs="Times New Roman"/>
          <w:sz w:val="24"/>
          <w:szCs w:val="24"/>
        </w:rPr>
        <w:t>: IVES GANDRA DA SILV</w:t>
      </w:r>
      <w:r w:rsidR="0017131B">
        <w:rPr>
          <w:rFonts w:ascii="Verdana" w:hAnsi="Verdana" w:cs="Times New Roman"/>
          <w:sz w:val="24"/>
          <w:szCs w:val="24"/>
        </w:rPr>
        <w:t>A MARTINS E OUTROS INTDO.(A/S)</w:t>
      </w:r>
      <w:r w:rsidRPr="00243E98">
        <w:rPr>
          <w:rFonts w:ascii="Verdana" w:hAnsi="Verdana" w:cs="Times New Roman"/>
          <w:sz w:val="24"/>
          <w:szCs w:val="24"/>
        </w:rPr>
        <w:t xml:space="preserve">: </w:t>
      </w:r>
      <w:r w:rsidR="0017131B">
        <w:rPr>
          <w:rFonts w:ascii="Verdana" w:hAnsi="Verdana" w:cs="Times New Roman"/>
          <w:sz w:val="24"/>
          <w:szCs w:val="24"/>
        </w:rPr>
        <w:t>PRESIDENTE DA REPÚBLICA, INTDO.(AIS)</w:t>
      </w:r>
      <w:r w:rsidRPr="00243E98">
        <w:rPr>
          <w:rFonts w:ascii="Verdana" w:hAnsi="Verdana" w:cs="Times New Roman"/>
          <w:sz w:val="24"/>
          <w:szCs w:val="24"/>
        </w:rPr>
        <w:t>: CONGRESSO NACIONAL.</w:t>
      </w:r>
    </w:p>
    <w:p w:rsidR="00BD39D4" w:rsidRPr="00243E98" w:rsidRDefault="00BD39D4" w:rsidP="00243E98">
      <w:pPr>
        <w:pStyle w:val="Textodenotaderodap"/>
        <w:jc w:val="both"/>
        <w:rPr>
          <w:rFonts w:ascii="Verdana" w:hAnsi="Verdana"/>
          <w:sz w:val="24"/>
          <w:szCs w:val="24"/>
        </w:rPr>
      </w:pPr>
    </w:p>
  </w:footnote>
  <w:footnote w:id="13">
    <w:p w:rsidR="00BD39D4" w:rsidRPr="00243E98" w:rsidRDefault="00BD39D4" w:rsidP="00243E98">
      <w:pPr>
        <w:pStyle w:val="Textodenotaderodap"/>
        <w:jc w:val="both"/>
        <w:rPr>
          <w:rFonts w:ascii="Verdana" w:hAnsi="Verdana"/>
          <w:sz w:val="24"/>
          <w:szCs w:val="24"/>
        </w:rPr>
      </w:pPr>
      <w:r w:rsidRPr="00243E98">
        <w:rPr>
          <w:rStyle w:val="Refdenotaderodap"/>
          <w:rFonts w:ascii="Verdana" w:hAnsi="Verdana"/>
          <w:sz w:val="24"/>
          <w:szCs w:val="24"/>
        </w:rPr>
        <w:footnoteRef/>
      </w:r>
      <w:r w:rsidRPr="00243E98">
        <w:rPr>
          <w:rFonts w:ascii="Verdana" w:hAnsi="Verdana"/>
          <w:sz w:val="24"/>
          <w:szCs w:val="24"/>
        </w:rPr>
        <w:t xml:space="preserve">  PLENÁRIO,  AÇÃO DIRETA DE INCONSTITUCIONALIDADE 2028, PROCED. DF,. REL. MIN. JOAQUIM BARBOSA, REDATORA DO ACÓRDÃO: MIN. ROSA WEBER, REQTE.; CONFED. NAC. DE SAÚDE-HOSPITAIS, ESTABELECS. E SERVIÇOS – CNS, ADV.(A/S): IVES GANDRA DA SILVA MARTINS, INTDO.: PRESIDENTE DA REPÚBLICA, INTDO.: CONGRESSO NACIONAL.</w:t>
      </w:r>
    </w:p>
    <w:p w:rsidR="00BD39D4" w:rsidRPr="00243E98" w:rsidRDefault="00BD39D4" w:rsidP="00243E98">
      <w:pPr>
        <w:pStyle w:val="Textodenotaderodap"/>
        <w:jc w:val="both"/>
        <w:rPr>
          <w:rFonts w:ascii="Verdana" w:hAnsi="Verdana"/>
          <w:sz w:val="24"/>
          <w:szCs w:val="24"/>
        </w:rPr>
      </w:pPr>
    </w:p>
  </w:footnote>
  <w:footnote w:id="14">
    <w:p w:rsidR="00BD39D4" w:rsidRPr="00243E98" w:rsidRDefault="00BD39D4" w:rsidP="00243E98">
      <w:pPr>
        <w:pStyle w:val="Textodenotaderodap"/>
        <w:jc w:val="both"/>
        <w:rPr>
          <w:rFonts w:ascii="Verdana" w:hAnsi="Verdana"/>
          <w:sz w:val="24"/>
          <w:szCs w:val="24"/>
        </w:rPr>
      </w:pPr>
      <w:r w:rsidRPr="00243E98">
        <w:rPr>
          <w:rStyle w:val="Refdenotaderodap"/>
          <w:rFonts w:ascii="Verdana" w:hAnsi="Verdana"/>
          <w:sz w:val="24"/>
          <w:szCs w:val="24"/>
        </w:rPr>
        <w:footnoteRef/>
      </w:r>
      <w:r w:rsidRPr="00243E98">
        <w:rPr>
          <w:rFonts w:ascii="Verdana" w:hAnsi="Verdana"/>
          <w:sz w:val="24"/>
          <w:szCs w:val="24"/>
        </w:rPr>
        <w:t xml:space="preserve">    Pesquisas Tributárias – Nova Série n. 5, Processo Administrativo Tributário,</w:t>
      </w:r>
      <w:r w:rsidR="002A3345">
        <w:rPr>
          <w:rFonts w:ascii="Verdana" w:hAnsi="Verdana"/>
          <w:sz w:val="24"/>
          <w:szCs w:val="24"/>
        </w:rPr>
        <w:t xml:space="preserve"> coordenação de Ives Gandra Martins, autores: Antonio José da Costa, Antonio Manoel </w:t>
      </w:r>
      <w:proofErr w:type="spellStart"/>
      <w:r w:rsidR="002A3345">
        <w:rPr>
          <w:rFonts w:ascii="Verdana" w:hAnsi="Verdana"/>
          <w:sz w:val="24"/>
          <w:szCs w:val="24"/>
        </w:rPr>
        <w:t>Gonçalez</w:t>
      </w:r>
      <w:proofErr w:type="spellEnd"/>
      <w:r w:rsidR="002A3345">
        <w:rPr>
          <w:rFonts w:ascii="Verdana" w:hAnsi="Verdana"/>
          <w:sz w:val="24"/>
          <w:szCs w:val="24"/>
        </w:rPr>
        <w:t xml:space="preserve">, Dirceu Antonio </w:t>
      </w:r>
      <w:proofErr w:type="spellStart"/>
      <w:r w:rsidR="002A3345">
        <w:rPr>
          <w:rFonts w:ascii="Verdana" w:hAnsi="Verdana"/>
          <w:sz w:val="24"/>
          <w:szCs w:val="24"/>
        </w:rPr>
        <w:t>Pastorello</w:t>
      </w:r>
      <w:proofErr w:type="spellEnd"/>
      <w:r w:rsidR="002A3345">
        <w:rPr>
          <w:rFonts w:ascii="Verdana" w:hAnsi="Verdana"/>
          <w:sz w:val="24"/>
          <w:szCs w:val="24"/>
        </w:rPr>
        <w:t xml:space="preserve">, Diva </w:t>
      </w:r>
      <w:proofErr w:type="spellStart"/>
      <w:r w:rsidR="002A3345">
        <w:rPr>
          <w:rFonts w:ascii="Verdana" w:hAnsi="Verdana"/>
          <w:sz w:val="24"/>
          <w:szCs w:val="24"/>
        </w:rPr>
        <w:t>Malerbi</w:t>
      </w:r>
      <w:proofErr w:type="spellEnd"/>
      <w:r w:rsidR="002A3345">
        <w:rPr>
          <w:rFonts w:ascii="Verdana" w:hAnsi="Verdana"/>
          <w:sz w:val="24"/>
          <w:szCs w:val="24"/>
        </w:rPr>
        <w:t xml:space="preserve">, Edison Carlos Fernandes, Fátima Fernandes Rodrigues de Souza, Fernando de Oliveira Marques, Fernando </w:t>
      </w:r>
      <w:proofErr w:type="spellStart"/>
      <w:r w:rsidR="002A3345">
        <w:rPr>
          <w:rFonts w:ascii="Verdana" w:hAnsi="Verdana"/>
          <w:sz w:val="24"/>
          <w:szCs w:val="24"/>
        </w:rPr>
        <w:t>Facury</w:t>
      </w:r>
      <w:proofErr w:type="spellEnd"/>
      <w:r w:rsidR="002A3345">
        <w:rPr>
          <w:rFonts w:ascii="Verdana" w:hAnsi="Verdana"/>
          <w:sz w:val="24"/>
          <w:szCs w:val="24"/>
        </w:rPr>
        <w:t xml:space="preserve"> </w:t>
      </w:r>
      <w:proofErr w:type="spellStart"/>
      <w:r w:rsidR="002A3345">
        <w:rPr>
          <w:rFonts w:ascii="Verdana" w:hAnsi="Verdana"/>
          <w:sz w:val="24"/>
          <w:szCs w:val="24"/>
        </w:rPr>
        <w:t>Scaff</w:t>
      </w:r>
      <w:proofErr w:type="spellEnd"/>
      <w:r w:rsidR="002A3345">
        <w:rPr>
          <w:rFonts w:ascii="Verdana" w:hAnsi="Verdana"/>
          <w:sz w:val="24"/>
          <w:szCs w:val="24"/>
        </w:rPr>
        <w:t xml:space="preserve">, Francisco de Assis Alves, Francisco de Assis </w:t>
      </w:r>
      <w:proofErr w:type="spellStart"/>
      <w:r w:rsidR="002A3345">
        <w:rPr>
          <w:rFonts w:ascii="Verdana" w:hAnsi="Verdana"/>
          <w:sz w:val="24"/>
          <w:szCs w:val="24"/>
        </w:rPr>
        <w:t>Praxedes</w:t>
      </w:r>
      <w:proofErr w:type="spellEnd"/>
      <w:r w:rsidR="002A3345">
        <w:rPr>
          <w:rFonts w:ascii="Verdana" w:hAnsi="Verdana"/>
          <w:sz w:val="24"/>
          <w:szCs w:val="24"/>
        </w:rPr>
        <w:t xml:space="preserve">, Gustavo </w:t>
      </w:r>
      <w:proofErr w:type="spellStart"/>
      <w:r w:rsidR="002A3345">
        <w:rPr>
          <w:rFonts w:ascii="Verdana" w:hAnsi="Verdana"/>
          <w:sz w:val="24"/>
          <w:szCs w:val="24"/>
        </w:rPr>
        <w:t>Miguez</w:t>
      </w:r>
      <w:proofErr w:type="spellEnd"/>
      <w:r w:rsidR="002A3345">
        <w:rPr>
          <w:rFonts w:ascii="Verdana" w:hAnsi="Verdana"/>
          <w:sz w:val="24"/>
          <w:szCs w:val="24"/>
        </w:rPr>
        <w:t xml:space="preserve"> de Mello, </w:t>
      </w:r>
      <w:proofErr w:type="spellStart"/>
      <w:r w:rsidR="002A3345">
        <w:rPr>
          <w:rFonts w:ascii="Verdana" w:hAnsi="Verdana"/>
          <w:sz w:val="24"/>
          <w:szCs w:val="24"/>
        </w:rPr>
        <w:t>Helenilson</w:t>
      </w:r>
      <w:proofErr w:type="spellEnd"/>
      <w:r w:rsidR="002A3345">
        <w:rPr>
          <w:rFonts w:ascii="Verdana" w:hAnsi="Verdana"/>
          <w:sz w:val="24"/>
          <w:szCs w:val="24"/>
        </w:rPr>
        <w:t xml:space="preserve"> Cunha Pontes, Hugo de Brito Machado, Ives Gandra Martins, José Augusto Delgado, José Eduardo Soares de Melo, </w:t>
      </w:r>
      <w:proofErr w:type="spellStart"/>
      <w:r w:rsidR="002A3345">
        <w:rPr>
          <w:rFonts w:ascii="Verdana" w:hAnsi="Verdana"/>
          <w:sz w:val="24"/>
          <w:szCs w:val="24"/>
        </w:rPr>
        <w:t>Kiyoshi</w:t>
      </w:r>
      <w:proofErr w:type="spellEnd"/>
      <w:r w:rsidR="002A3345">
        <w:rPr>
          <w:rFonts w:ascii="Verdana" w:hAnsi="Verdana"/>
          <w:sz w:val="24"/>
          <w:szCs w:val="24"/>
        </w:rPr>
        <w:t xml:space="preserve"> </w:t>
      </w:r>
      <w:proofErr w:type="spellStart"/>
      <w:r w:rsidR="002A3345">
        <w:rPr>
          <w:rFonts w:ascii="Verdana" w:hAnsi="Verdana"/>
          <w:sz w:val="24"/>
          <w:szCs w:val="24"/>
        </w:rPr>
        <w:t>Harada</w:t>
      </w:r>
      <w:proofErr w:type="spellEnd"/>
      <w:r w:rsidR="002A3345">
        <w:rPr>
          <w:rFonts w:ascii="Verdana" w:hAnsi="Verdana"/>
          <w:sz w:val="24"/>
          <w:szCs w:val="24"/>
        </w:rPr>
        <w:t xml:space="preserve">, Luiz Antonio Caldeira </w:t>
      </w:r>
      <w:proofErr w:type="spellStart"/>
      <w:r w:rsidR="002A3345">
        <w:rPr>
          <w:rFonts w:ascii="Verdana" w:hAnsi="Verdana"/>
          <w:sz w:val="24"/>
          <w:szCs w:val="24"/>
        </w:rPr>
        <w:t>Miretti</w:t>
      </w:r>
      <w:proofErr w:type="spellEnd"/>
      <w:r w:rsidR="002A3345">
        <w:rPr>
          <w:rFonts w:ascii="Verdana" w:hAnsi="Verdana"/>
          <w:sz w:val="24"/>
          <w:szCs w:val="24"/>
        </w:rPr>
        <w:t xml:space="preserve">, Marcello Martins Motta Filho, Marco Aurélio Greco, Maria Teresa de </w:t>
      </w:r>
      <w:proofErr w:type="spellStart"/>
      <w:r w:rsidR="002A3345">
        <w:rPr>
          <w:rFonts w:ascii="Verdana" w:hAnsi="Verdana"/>
          <w:sz w:val="24"/>
          <w:szCs w:val="24"/>
        </w:rPr>
        <w:t>Cárcomo</w:t>
      </w:r>
      <w:proofErr w:type="spellEnd"/>
      <w:r w:rsidR="002A3345">
        <w:rPr>
          <w:rFonts w:ascii="Verdana" w:hAnsi="Verdana"/>
          <w:sz w:val="24"/>
          <w:szCs w:val="24"/>
        </w:rPr>
        <w:t xml:space="preserve"> Lobo, Marilene Talarico Martins Rodrigues, </w:t>
      </w:r>
      <w:r w:rsidR="009E0F01">
        <w:rPr>
          <w:rFonts w:ascii="Verdana" w:hAnsi="Verdana"/>
          <w:sz w:val="24"/>
          <w:szCs w:val="24"/>
        </w:rPr>
        <w:t xml:space="preserve">Moisés </w:t>
      </w:r>
      <w:proofErr w:type="spellStart"/>
      <w:r w:rsidR="009E0F01">
        <w:rPr>
          <w:rFonts w:ascii="Verdana" w:hAnsi="Verdana"/>
          <w:sz w:val="24"/>
          <w:szCs w:val="24"/>
        </w:rPr>
        <w:t>Akselrad</w:t>
      </w:r>
      <w:proofErr w:type="spellEnd"/>
      <w:r w:rsidR="009E0F01">
        <w:rPr>
          <w:rFonts w:ascii="Verdana" w:hAnsi="Verdana"/>
          <w:sz w:val="24"/>
          <w:szCs w:val="24"/>
        </w:rPr>
        <w:t xml:space="preserve">, Oswaldo Othon de Pontes Saraiva Filho, Plínio José </w:t>
      </w:r>
      <w:proofErr w:type="spellStart"/>
      <w:r w:rsidR="009E0F01">
        <w:rPr>
          <w:rFonts w:ascii="Verdana" w:hAnsi="Verdana"/>
          <w:sz w:val="24"/>
          <w:szCs w:val="24"/>
        </w:rPr>
        <w:t>Marafon</w:t>
      </w:r>
      <w:proofErr w:type="spellEnd"/>
      <w:r w:rsidR="009E0F01">
        <w:rPr>
          <w:rFonts w:ascii="Verdana" w:hAnsi="Verdana"/>
          <w:sz w:val="24"/>
          <w:szCs w:val="24"/>
        </w:rPr>
        <w:t xml:space="preserve">, Ricardo Lobo Torres, Ricardo Mariz de Oliveira, Sacha Calmon Navarro Coelho, Valdir de Oliveira Rocha, Vinicius T. </w:t>
      </w:r>
      <w:proofErr w:type="spellStart"/>
      <w:r w:rsidR="009E0F01">
        <w:rPr>
          <w:rFonts w:ascii="Verdana" w:hAnsi="Verdana"/>
          <w:sz w:val="24"/>
          <w:szCs w:val="24"/>
        </w:rPr>
        <w:t>Campanille</w:t>
      </w:r>
      <w:proofErr w:type="spellEnd"/>
      <w:r w:rsidR="009E0F01">
        <w:rPr>
          <w:rFonts w:ascii="Verdana" w:hAnsi="Verdana"/>
          <w:sz w:val="24"/>
          <w:szCs w:val="24"/>
        </w:rPr>
        <w:t xml:space="preserve">, </w:t>
      </w:r>
      <w:proofErr w:type="spellStart"/>
      <w:r w:rsidR="009E0F01">
        <w:rPr>
          <w:rFonts w:ascii="Verdana" w:hAnsi="Verdana"/>
          <w:sz w:val="24"/>
          <w:szCs w:val="24"/>
        </w:rPr>
        <w:t>Vittório</w:t>
      </w:r>
      <w:proofErr w:type="spellEnd"/>
      <w:r w:rsidR="009E0F01">
        <w:rPr>
          <w:rFonts w:ascii="Verdana" w:hAnsi="Verdana"/>
          <w:sz w:val="24"/>
          <w:szCs w:val="24"/>
        </w:rPr>
        <w:t xml:space="preserve"> </w:t>
      </w:r>
      <w:proofErr w:type="spellStart"/>
      <w:r w:rsidR="009E0F01">
        <w:rPr>
          <w:rFonts w:ascii="Verdana" w:hAnsi="Verdana"/>
          <w:sz w:val="24"/>
          <w:szCs w:val="24"/>
        </w:rPr>
        <w:t>Cassone</w:t>
      </w:r>
      <w:proofErr w:type="spellEnd"/>
      <w:r w:rsidR="009E0F01">
        <w:rPr>
          <w:rFonts w:ascii="Verdana" w:hAnsi="Verdana"/>
          <w:sz w:val="24"/>
          <w:szCs w:val="24"/>
        </w:rPr>
        <w:t xml:space="preserve">, Wagner </w:t>
      </w:r>
      <w:proofErr w:type="spellStart"/>
      <w:r w:rsidR="009E0F01">
        <w:rPr>
          <w:rFonts w:ascii="Verdana" w:hAnsi="Verdana"/>
          <w:sz w:val="24"/>
          <w:szCs w:val="24"/>
        </w:rPr>
        <w:t>Balera</w:t>
      </w:r>
      <w:proofErr w:type="spellEnd"/>
      <w:r w:rsidR="009E0F01">
        <w:rPr>
          <w:rFonts w:ascii="Verdana" w:hAnsi="Verdana"/>
          <w:sz w:val="24"/>
          <w:szCs w:val="24"/>
        </w:rPr>
        <w:t xml:space="preserve"> e Yoshiaki </w:t>
      </w:r>
      <w:proofErr w:type="spellStart"/>
      <w:r w:rsidR="009E0F01">
        <w:rPr>
          <w:rFonts w:ascii="Verdana" w:hAnsi="Verdana"/>
          <w:sz w:val="24"/>
          <w:szCs w:val="24"/>
        </w:rPr>
        <w:t>Ichihara</w:t>
      </w:r>
      <w:proofErr w:type="spellEnd"/>
      <w:r w:rsidR="009E0F01">
        <w:rPr>
          <w:rFonts w:ascii="Verdana" w:hAnsi="Verdana"/>
          <w:sz w:val="24"/>
          <w:szCs w:val="24"/>
        </w:rPr>
        <w:t>,</w:t>
      </w:r>
      <w:r w:rsidR="002A3345">
        <w:rPr>
          <w:rFonts w:ascii="Verdana" w:hAnsi="Verdana"/>
          <w:sz w:val="24"/>
          <w:szCs w:val="24"/>
        </w:rPr>
        <w:t xml:space="preserve"> </w:t>
      </w:r>
      <w:r w:rsidRPr="00243E98">
        <w:rPr>
          <w:rFonts w:ascii="Verdana" w:hAnsi="Verdana"/>
          <w:sz w:val="24"/>
          <w:szCs w:val="24"/>
        </w:rPr>
        <w:t xml:space="preserve"> ed. Centro de Extensão Universitária/Ed.  Revista dos Tribunais, 2</w:t>
      </w:r>
      <w:r w:rsidRPr="00243E98">
        <w:rPr>
          <w:rFonts w:ascii="Verdana" w:hAnsi="Verdana"/>
          <w:sz w:val="24"/>
          <w:szCs w:val="24"/>
          <w:vertAlign w:val="superscript"/>
        </w:rPr>
        <w:t>a</w:t>
      </w:r>
      <w:r w:rsidRPr="00243E98">
        <w:rPr>
          <w:rFonts w:ascii="Verdana" w:hAnsi="Verdana"/>
          <w:sz w:val="24"/>
          <w:szCs w:val="24"/>
        </w:rPr>
        <w:t>. ed., 2001, p. 31/32.</w:t>
      </w:r>
    </w:p>
  </w:footnote>
  <w:footnote w:id="15">
    <w:p w:rsidR="00BD39D4" w:rsidRPr="00243E98" w:rsidRDefault="00BD39D4" w:rsidP="00243E98">
      <w:pPr>
        <w:spacing w:after="0" w:line="240" w:lineRule="auto"/>
        <w:jc w:val="both"/>
        <w:rPr>
          <w:rFonts w:ascii="Verdana" w:hAnsi="Verdana"/>
          <w:iCs/>
          <w:sz w:val="24"/>
          <w:szCs w:val="24"/>
        </w:rPr>
      </w:pPr>
      <w:r w:rsidRPr="00243E98">
        <w:rPr>
          <w:rStyle w:val="Refdenotaderodap"/>
          <w:rFonts w:ascii="Verdana" w:hAnsi="Verdana"/>
          <w:sz w:val="24"/>
          <w:szCs w:val="24"/>
        </w:rPr>
        <w:footnoteRef/>
      </w:r>
      <w:r w:rsidRPr="00243E98">
        <w:rPr>
          <w:rFonts w:ascii="Verdana" w:hAnsi="Verdana"/>
          <w:sz w:val="24"/>
          <w:szCs w:val="24"/>
        </w:rPr>
        <w:t xml:space="preserve">  </w:t>
      </w:r>
      <w:r w:rsidRPr="00243E98">
        <w:rPr>
          <w:rFonts w:ascii="Verdana" w:hAnsi="Verdana"/>
          <w:iCs/>
          <w:sz w:val="24"/>
          <w:szCs w:val="24"/>
        </w:rPr>
        <w:t>Comentários à Constituição do Brasil, 4º vol. tomo I, Celso Ribeiro Bastos e Ives Gandra Martins, Ed. Saraiva, 1999, p. 413/415.</w:t>
      </w:r>
    </w:p>
    <w:p w:rsidR="00BD39D4" w:rsidRPr="00243E98" w:rsidRDefault="00BD39D4" w:rsidP="00243E98">
      <w:pPr>
        <w:pStyle w:val="Textodenotaderodap"/>
        <w:jc w:val="both"/>
        <w:rPr>
          <w:rFonts w:ascii="Verdana" w:hAnsi="Verdana"/>
          <w:sz w:val="24"/>
          <w:szCs w:val="24"/>
        </w:rPr>
      </w:pPr>
    </w:p>
  </w:footnote>
  <w:footnote w:id="16">
    <w:p w:rsidR="00BD39D4" w:rsidRPr="00C86C61" w:rsidRDefault="00BD39D4" w:rsidP="00243E98">
      <w:pPr>
        <w:pStyle w:val="Ttulo1"/>
        <w:shd w:val="clear" w:color="auto" w:fill="FFFFFF"/>
        <w:spacing w:before="0" w:beforeAutospacing="0" w:after="0" w:afterAutospacing="0"/>
        <w:jc w:val="both"/>
        <w:rPr>
          <w:rFonts w:ascii="Verdana" w:hAnsi="Verdana" w:cs="Arial"/>
          <w:b w:val="0"/>
          <w:color w:val="111111"/>
          <w:sz w:val="24"/>
          <w:szCs w:val="24"/>
        </w:rPr>
      </w:pPr>
      <w:r w:rsidRPr="00243E98">
        <w:rPr>
          <w:rStyle w:val="Refdenotaderodap"/>
          <w:rFonts w:ascii="Verdana" w:hAnsi="Verdana"/>
          <w:sz w:val="24"/>
          <w:szCs w:val="24"/>
        </w:rPr>
        <w:footnoteRef/>
      </w:r>
      <w:r w:rsidRPr="00243E98">
        <w:rPr>
          <w:rFonts w:ascii="Verdana" w:hAnsi="Verdana"/>
          <w:sz w:val="24"/>
          <w:szCs w:val="24"/>
        </w:rPr>
        <w:t xml:space="preserve"> </w:t>
      </w:r>
      <w:r w:rsidRPr="00C86C61">
        <w:rPr>
          <w:rFonts w:ascii="Verdana" w:hAnsi="Verdana"/>
          <w:b w:val="0"/>
          <w:sz w:val="24"/>
          <w:szCs w:val="24"/>
        </w:rPr>
        <w:t>“</w:t>
      </w:r>
      <w:r w:rsidRPr="00C86C61">
        <w:rPr>
          <w:rFonts w:ascii="Verdana" w:hAnsi="Verdana" w:cs="Arial"/>
          <w:b w:val="0"/>
          <w:color w:val="111111"/>
          <w:sz w:val="24"/>
          <w:szCs w:val="24"/>
        </w:rPr>
        <w:t xml:space="preserve">Imunidades Tributárias dos Templos e Instituições Religiosas”, Roque Antonio </w:t>
      </w:r>
      <w:proofErr w:type="spellStart"/>
      <w:r w:rsidRPr="00C86C61">
        <w:rPr>
          <w:rFonts w:ascii="Verdana" w:hAnsi="Verdana" w:cs="Arial"/>
          <w:b w:val="0"/>
          <w:color w:val="111111"/>
          <w:sz w:val="24"/>
          <w:szCs w:val="24"/>
        </w:rPr>
        <w:t>Carrazza</w:t>
      </w:r>
      <w:proofErr w:type="spellEnd"/>
      <w:r w:rsidRPr="00C86C61">
        <w:rPr>
          <w:rFonts w:ascii="Verdana" w:hAnsi="Verdana" w:cs="Arial"/>
          <w:b w:val="0"/>
          <w:color w:val="111111"/>
          <w:sz w:val="24"/>
          <w:szCs w:val="24"/>
        </w:rPr>
        <w:t xml:space="preserve">, Ed. </w:t>
      </w:r>
      <w:proofErr w:type="spellStart"/>
      <w:r w:rsidRPr="00C86C61">
        <w:rPr>
          <w:rFonts w:ascii="Verdana" w:hAnsi="Verdana" w:cs="Arial"/>
          <w:b w:val="0"/>
          <w:color w:val="111111"/>
          <w:sz w:val="24"/>
          <w:szCs w:val="24"/>
        </w:rPr>
        <w:t>Noeses</w:t>
      </w:r>
      <w:proofErr w:type="spellEnd"/>
      <w:r w:rsidRPr="00C86C61">
        <w:rPr>
          <w:rFonts w:ascii="Verdana" w:hAnsi="Verdana" w:cs="Arial"/>
          <w:b w:val="0"/>
          <w:color w:val="111111"/>
          <w:sz w:val="24"/>
          <w:szCs w:val="24"/>
        </w:rPr>
        <w:t>, prefácio Ives Gandra Martins, São Paulo, 2015.</w:t>
      </w:r>
    </w:p>
    <w:p w:rsidR="00BD39D4" w:rsidRPr="00243E98" w:rsidRDefault="00BD39D4" w:rsidP="00243E98">
      <w:pPr>
        <w:pStyle w:val="Textodenotaderodap"/>
        <w:jc w:val="both"/>
        <w:rPr>
          <w:rFonts w:ascii="Verdana" w:hAnsi="Verdana"/>
          <w:sz w:val="24"/>
          <w:szCs w:val="24"/>
        </w:rPr>
      </w:pPr>
    </w:p>
  </w:footnote>
  <w:footnote w:id="17">
    <w:p w:rsidR="00BD39D4" w:rsidRPr="00243E98" w:rsidRDefault="00BD39D4" w:rsidP="00243E98">
      <w:pPr>
        <w:pStyle w:val="Textodenotaderodap"/>
        <w:jc w:val="both"/>
        <w:rPr>
          <w:rFonts w:ascii="Verdana" w:hAnsi="Verdana"/>
          <w:sz w:val="24"/>
          <w:szCs w:val="24"/>
        </w:rPr>
      </w:pPr>
      <w:r w:rsidRPr="00243E98">
        <w:rPr>
          <w:rStyle w:val="Refdenotaderodap"/>
          <w:rFonts w:ascii="Verdana" w:hAnsi="Verdana"/>
          <w:sz w:val="24"/>
          <w:szCs w:val="24"/>
        </w:rPr>
        <w:footnoteRef/>
      </w:r>
      <w:r w:rsidRPr="00243E98">
        <w:rPr>
          <w:rFonts w:ascii="Verdana" w:hAnsi="Verdana"/>
          <w:sz w:val="24"/>
          <w:szCs w:val="24"/>
        </w:rPr>
        <w:t xml:space="preserve">  Paulo de Barros Carvalho explica:</w:t>
      </w:r>
    </w:p>
    <w:p w:rsidR="00BD39D4" w:rsidRPr="00243E98" w:rsidRDefault="00BD39D4" w:rsidP="00243E98">
      <w:pPr>
        <w:pStyle w:val="Textodenotaderodap"/>
        <w:jc w:val="both"/>
        <w:rPr>
          <w:rFonts w:ascii="Verdana" w:hAnsi="Verdana"/>
          <w:sz w:val="24"/>
          <w:szCs w:val="24"/>
        </w:rPr>
      </w:pPr>
      <w:r w:rsidRPr="00243E98">
        <w:rPr>
          <w:rFonts w:ascii="Verdana" w:hAnsi="Verdana"/>
          <w:sz w:val="24"/>
          <w:szCs w:val="24"/>
        </w:rPr>
        <w:t>“Ao coordenar tais ponderações, começa a aparecer</w:t>
      </w:r>
      <w:r w:rsidR="00124307">
        <w:rPr>
          <w:rFonts w:ascii="Verdana" w:hAnsi="Verdana"/>
          <w:sz w:val="24"/>
          <w:szCs w:val="24"/>
        </w:rPr>
        <w:t xml:space="preserve"> o vulto jurídico da entidade. É</w:t>
      </w:r>
      <w:r w:rsidRPr="00243E98">
        <w:rPr>
          <w:rFonts w:ascii="Verdana" w:hAnsi="Verdana"/>
          <w:sz w:val="24"/>
          <w:szCs w:val="24"/>
        </w:rPr>
        <w:t xml:space="preserve"> mist</w:t>
      </w:r>
      <w:r>
        <w:rPr>
          <w:rFonts w:ascii="Verdana" w:hAnsi="Verdana"/>
          <w:sz w:val="24"/>
          <w:szCs w:val="24"/>
        </w:rPr>
        <w:t>er, agora, demarcá-lo, delimitá</w:t>
      </w:r>
      <w:r w:rsidRPr="00243E98">
        <w:rPr>
          <w:rFonts w:ascii="Verdana" w:hAnsi="Verdana"/>
          <w:sz w:val="24"/>
          <w:szCs w:val="24"/>
        </w:rPr>
        <w:t>-lo, defini-lo. Recortamos o conceito de imunidade tributária, única e exclusivamente, com o auxílio de elementos jurídicos substanciais à sua na</w:t>
      </w:r>
      <w:r>
        <w:rPr>
          <w:rFonts w:ascii="Verdana" w:hAnsi="Verdana"/>
          <w:sz w:val="24"/>
          <w:szCs w:val="24"/>
        </w:rPr>
        <w:t>tureza, pelo que podemos exibi-l</w:t>
      </w:r>
      <w:r w:rsidRPr="00243E98">
        <w:rPr>
          <w:rFonts w:ascii="Verdana" w:hAnsi="Verdana"/>
          <w:sz w:val="24"/>
          <w:szCs w:val="24"/>
        </w:rPr>
        <w:t>a como a classe finita e imediatamente determinável de normas jurídicas, contidas no texto da Constituição, e que estabelecem, de modo expresso, a incompetência das pessoas políticas de direito constitucional interno, para expedir regras instituidoras de tributos que alcancem situações específicas e suficientemente caracterizadas.</w:t>
      </w:r>
    </w:p>
    <w:p w:rsidR="00BD39D4" w:rsidRPr="00243E98" w:rsidRDefault="00BD39D4" w:rsidP="00243E98">
      <w:pPr>
        <w:pStyle w:val="Textodenotaderodap"/>
        <w:jc w:val="both"/>
        <w:rPr>
          <w:rFonts w:ascii="Verdana" w:hAnsi="Verdana"/>
          <w:sz w:val="24"/>
          <w:szCs w:val="24"/>
        </w:rPr>
      </w:pPr>
      <w:r w:rsidRPr="00243E98">
        <w:rPr>
          <w:rFonts w:ascii="Verdana" w:hAnsi="Verdana"/>
          <w:sz w:val="24"/>
          <w:szCs w:val="24"/>
        </w:rPr>
        <w:t xml:space="preserve">Do exposto, é forçoso concluir que a imunidade não exclui nem suprime competências tributárias, pois estas representam o resultado de uma conjugação de normas constitucionais, entre as quais estão elas, as imunidades tributárias. A competência para legislar, quando surge, já vem com as demarcações que os preceitos da Constituição fixaram, e, dentre eles, os que impedem que certas situações sejam contempladas como hipótese de incidência de tributos, perfazendo proibições fortes, chamadas de imunidades tributárias” (“Imunidades das instituições religiosas”, coordenadores: Ives Gandra Martins e Paulo de Barros Carvalho, </w:t>
      </w:r>
      <w:proofErr w:type="spellStart"/>
      <w:r w:rsidRPr="00243E98">
        <w:rPr>
          <w:rFonts w:ascii="Verdana" w:hAnsi="Verdana"/>
          <w:sz w:val="24"/>
          <w:szCs w:val="24"/>
        </w:rPr>
        <w:t>divs</w:t>
      </w:r>
      <w:proofErr w:type="spellEnd"/>
      <w:r w:rsidRPr="00243E98">
        <w:rPr>
          <w:rFonts w:ascii="Verdana" w:hAnsi="Verdana"/>
          <w:sz w:val="24"/>
          <w:szCs w:val="24"/>
        </w:rPr>
        <w:t xml:space="preserve">. </w:t>
      </w:r>
      <w:proofErr w:type="spellStart"/>
      <w:r w:rsidRPr="00243E98">
        <w:rPr>
          <w:rFonts w:ascii="Verdana" w:hAnsi="Verdana"/>
          <w:sz w:val="24"/>
          <w:szCs w:val="24"/>
        </w:rPr>
        <w:t>Auts</w:t>
      </w:r>
      <w:proofErr w:type="spellEnd"/>
      <w:r w:rsidRPr="00243E98">
        <w:rPr>
          <w:rFonts w:ascii="Verdana" w:hAnsi="Verdana"/>
          <w:sz w:val="24"/>
          <w:szCs w:val="24"/>
        </w:rPr>
        <w:t xml:space="preserve">., Ed. </w:t>
      </w:r>
      <w:proofErr w:type="spellStart"/>
      <w:r w:rsidRPr="00243E98">
        <w:rPr>
          <w:rFonts w:ascii="Verdana" w:hAnsi="Verdana"/>
          <w:sz w:val="24"/>
          <w:szCs w:val="24"/>
        </w:rPr>
        <w:t>Noeses</w:t>
      </w:r>
      <w:proofErr w:type="spellEnd"/>
      <w:r w:rsidRPr="00243E98">
        <w:rPr>
          <w:rFonts w:ascii="Verdana" w:hAnsi="Verdana"/>
          <w:sz w:val="24"/>
          <w:szCs w:val="24"/>
        </w:rPr>
        <w:t>, São Paulo, 2015, p. 35).</w:t>
      </w:r>
    </w:p>
    <w:p w:rsidR="00BD39D4" w:rsidRPr="00243E98" w:rsidRDefault="00BD39D4" w:rsidP="00243E98">
      <w:pPr>
        <w:pStyle w:val="Textodenotaderodap"/>
        <w:jc w:val="both"/>
        <w:rPr>
          <w:rFonts w:ascii="Verdana" w:hAnsi="Verdana"/>
          <w:sz w:val="24"/>
          <w:szCs w:val="24"/>
        </w:rPr>
      </w:pPr>
    </w:p>
  </w:footnote>
  <w:footnote w:id="18">
    <w:p w:rsidR="00BD39D4" w:rsidRPr="00243E98" w:rsidRDefault="00BD39D4" w:rsidP="00243E98">
      <w:pPr>
        <w:pStyle w:val="Textodenotaderodap"/>
        <w:jc w:val="both"/>
        <w:rPr>
          <w:rFonts w:ascii="Verdana" w:hAnsi="Verdana"/>
          <w:sz w:val="24"/>
          <w:szCs w:val="24"/>
        </w:rPr>
      </w:pPr>
      <w:r w:rsidRPr="00243E98">
        <w:rPr>
          <w:rStyle w:val="Refdenotaderodap"/>
          <w:rFonts w:ascii="Verdana" w:hAnsi="Verdana"/>
          <w:sz w:val="24"/>
          <w:szCs w:val="24"/>
        </w:rPr>
        <w:footnoteRef/>
      </w:r>
      <w:r w:rsidRPr="00243E98">
        <w:rPr>
          <w:rFonts w:ascii="Verdana" w:hAnsi="Verdana"/>
          <w:sz w:val="24"/>
          <w:szCs w:val="24"/>
        </w:rPr>
        <w:t xml:space="preserve">  Revista Justiça &amp; Cidadania, Dezembro/2016, p. 6/7.</w:t>
      </w:r>
    </w:p>
    <w:p w:rsidR="00BD39D4" w:rsidRPr="00243E98" w:rsidRDefault="00BD39D4" w:rsidP="00243E98">
      <w:pPr>
        <w:pStyle w:val="Textodenotaderodap"/>
        <w:jc w:val="both"/>
        <w:rPr>
          <w:rFonts w:ascii="Verdana" w:hAnsi="Verdana"/>
          <w:sz w:val="24"/>
          <w:szCs w:val="24"/>
        </w:rPr>
      </w:pPr>
    </w:p>
  </w:footnote>
  <w:footnote w:id="19">
    <w:p w:rsidR="00BD39D4" w:rsidRPr="00E47B1E" w:rsidRDefault="00BD39D4" w:rsidP="00E47B1E">
      <w:pPr>
        <w:pStyle w:val="Textodenotaderodap"/>
        <w:jc w:val="both"/>
        <w:rPr>
          <w:rFonts w:ascii="Verdana" w:hAnsi="Verdana"/>
          <w:sz w:val="24"/>
          <w:szCs w:val="24"/>
        </w:rPr>
      </w:pPr>
      <w:r w:rsidRPr="00E47B1E">
        <w:rPr>
          <w:rStyle w:val="Refdenotaderodap"/>
          <w:rFonts w:ascii="Verdana" w:hAnsi="Verdana"/>
          <w:sz w:val="24"/>
          <w:szCs w:val="24"/>
        </w:rPr>
        <w:footnoteRef/>
      </w:r>
      <w:r w:rsidRPr="00E47B1E">
        <w:rPr>
          <w:rFonts w:ascii="Verdana" w:hAnsi="Verdana"/>
          <w:sz w:val="24"/>
          <w:szCs w:val="24"/>
        </w:rPr>
        <w:t xml:space="preserve">  Do julgamento das referidas </w:t>
      </w:r>
      <w:proofErr w:type="spellStart"/>
      <w:r w:rsidRPr="00E47B1E">
        <w:rPr>
          <w:rFonts w:ascii="Verdana" w:hAnsi="Verdana"/>
          <w:sz w:val="24"/>
          <w:szCs w:val="24"/>
        </w:rPr>
        <w:t>ADI’s</w:t>
      </w:r>
      <w:proofErr w:type="spellEnd"/>
      <w:r w:rsidRPr="00E47B1E">
        <w:rPr>
          <w:rFonts w:ascii="Verdana" w:hAnsi="Verdana"/>
          <w:sz w:val="24"/>
          <w:szCs w:val="24"/>
        </w:rPr>
        <w:t xml:space="preserve"> é de se lembrar:</w:t>
      </w:r>
    </w:p>
    <w:p w:rsidR="00BD39D4" w:rsidRPr="00E47B1E" w:rsidRDefault="00BD39D4" w:rsidP="00E47B1E">
      <w:pPr>
        <w:pStyle w:val="Textodenotaderodap"/>
        <w:jc w:val="both"/>
        <w:rPr>
          <w:rFonts w:ascii="Verdana" w:hAnsi="Verdana"/>
          <w:sz w:val="24"/>
          <w:szCs w:val="24"/>
        </w:rPr>
      </w:pPr>
      <w:r w:rsidRPr="00E47B1E">
        <w:rPr>
          <w:rFonts w:ascii="Verdana" w:hAnsi="Verdana"/>
          <w:sz w:val="24"/>
          <w:szCs w:val="24"/>
        </w:rPr>
        <w:t>“O voto do eminente e saudoso Ministro TEORI ZAVASCKI, no sentido de que “aspectos meramente procedimentais referentes à certificação, à fiscalização e ao controle administrativo continuam passíveis de definição em lei ordinária", como consta da publicação impugnada, foi MINORITÁRIO, somente tendo sido referendado pelos Ministros TOFFOLI, ROSA WEBER e LUIZ FUX.</w:t>
      </w:r>
    </w:p>
    <w:p w:rsidR="00BD39D4" w:rsidRDefault="00BD39D4" w:rsidP="00E47B1E">
      <w:pPr>
        <w:pStyle w:val="Textodenotaderodap"/>
        <w:jc w:val="both"/>
        <w:rPr>
          <w:rFonts w:ascii="Verdana" w:hAnsi="Verdana"/>
          <w:sz w:val="24"/>
          <w:szCs w:val="24"/>
        </w:rPr>
      </w:pPr>
      <w:r w:rsidRPr="00E47B1E">
        <w:rPr>
          <w:rFonts w:ascii="Verdana" w:hAnsi="Verdana"/>
          <w:sz w:val="24"/>
          <w:szCs w:val="24"/>
        </w:rPr>
        <w:t xml:space="preserve">Aliás, </w:t>
      </w:r>
      <w:r w:rsidRPr="00E47B1E">
        <w:rPr>
          <w:rFonts w:ascii="Verdana" w:hAnsi="Verdana"/>
          <w:b/>
          <w:sz w:val="24"/>
          <w:szCs w:val="24"/>
          <w:u w:val="single"/>
        </w:rPr>
        <w:t xml:space="preserve">pelo fato de ter sido declarada inconstitucional toda legislação ordinária que estabelecia </w:t>
      </w:r>
      <w:r w:rsidR="00E47B1E" w:rsidRPr="00E47B1E">
        <w:rPr>
          <w:rFonts w:ascii="Verdana" w:hAnsi="Verdana"/>
          <w:b/>
          <w:sz w:val="24"/>
          <w:szCs w:val="24"/>
          <w:u w:val="single"/>
        </w:rPr>
        <w:t>os supostos requisitos a serem sindicados para expedir a expedição do certificado</w:t>
      </w:r>
      <w:r w:rsidR="00E47B1E" w:rsidRPr="00E47B1E">
        <w:rPr>
          <w:rFonts w:ascii="Verdana" w:hAnsi="Verdana"/>
          <w:sz w:val="24"/>
          <w:szCs w:val="24"/>
        </w:rPr>
        <w:t xml:space="preserve"> (por exemplo, percentuais de gratuidade ou de atendimento do SUS), há até mesmo uma </w:t>
      </w:r>
      <w:r w:rsidR="00E47B1E" w:rsidRPr="00E47B1E">
        <w:rPr>
          <w:rFonts w:ascii="Verdana" w:hAnsi="Verdana"/>
          <w:b/>
          <w:sz w:val="24"/>
          <w:szCs w:val="24"/>
          <w:u w:val="single"/>
        </w:rPr>
        <w:t>impossibilidade material</w:t>
      </w:r>
      <w:r w:rsidR="00E47B1E" w:rsidRPr="00E47B1E">
        <w:rPr>
          <w:rFonts w:ascii="Verdana" w:hAnsi="Verdana"/>
          <w:sz w:val="24"/>
          <w:szCs w:val="24"/>
        </w:rPr>
        <w:t xml:space="preserve"> de a autoridade emitir tal documento” (grifos meus).</w:t>
      </w:r>
    </w:p>
    <w:p w:rsidR="00E47B1E" w:rsidRPr="00E47B1E" w:rsidRDefault="00E47B1E" w:rsidP="00E47B1E">
      <w:pPr>
        <w:pStyle w:val="Textodenotaderodap"/>
        <w:jc w:val="both"/>
        <w:rPr>
          <w:rFonts w:ascii="Verdana" w:hAnsi="Verdana"/>
          <w:sz w:val="24"/>
          <w:szCs w:val="24"/>
        </w:rPr>
      </w:pPr>
    </w:p>
  </w:footnote>
  <w:footnote w:id="20">
    <w:p w:rsidR="00BD39D4" w:rsidRPr="00243E98" w:rsidRDefault="00BD39D4" w:rsidP="00243E98">
      <w:pPr>
        <w:pStyle w:val="Textodenotaderodap"/>
        <w:jc w:val="both"/>
        <w:rPr>
          <w:rFonts w:ascii="Verdana" w:hAnsi="Verdana"/>
          <w:sz w:val="24"/>
          <w:szCs w:val="24"/>
        </w:rPr>
      </w:pPr>
      <w:r w:rsidRPr="00243E98">
        <w:rPr>
          <w:rStyle w:val="Refdenotaderodap"/>
          <w:rFonts w:ascii="Verdana" w:hAnsi="Verdana"/>
          <w:sz w:val="24"/>
          <w:szCs w:val="24"/>
        </w:rPr>
        <w:footnoteRef/>
      </w:r>
      <w:r w:rsidRPr="00243E98">
        <w:rPr>
          <w:rFonts w:ascii="Verdana" w:hAnsi="Verdana"/>
          <w:sz w:val="24"/>
          <w:szCs w:val="24"/>
        </w:rPr>
        <w:t xml:space="preserve">   O Ministro </w:t>
      </w:r>
      <w:proofErr w:type="spellStart"/>
      <w:r w:rsidRPr="00243E98">
        <w:rPr>
          <w:rFonts w:ascii="Verdana" w:hAnsi="Verdana"/>
          <w:sz w:val="24"/>
          <w:szCs w:val="24"/>
        </w:rPr>
        <w:t>Teori</w:t>
      </w:r>
      <w:proofErr w:type="spellEnd"/>
      <w:r w:rsidRPr="00243E98">
        <w:rPr>
          <w:rFonts w:ascii="Verdana" w:hAnsi="Verdana"/>
          <w:sz w:val="24"/>
          <w:szCs w:val="24"/>
        </w:rPr>
        <w:t xml:space="preserve"> Zavascki assim se manifestou sobre o referido artigo, que tem eficácia de lei complementar:</w:t>
      </w:r>
    </w:p>
    <w:p w:rsidR="00BD39D4" w:rsidRPr="00243E98" w:rsidRDefault="00BD39D4" w:rsidP="00243E98">
      <w:pPr>
        <w:pStyle w:val="Textodenotaderodap"/>
        <w:jc w:val="both"/>
        <w:rPr>
          <w:rFonts w:ascii="Verdana" w:hAnsi="Verdana"/>
          <w:sz w:val="24"/>
          <w:szCs w:val="24"/>
        </w:rPr>
      </w:pPr>
      <w:r w:rsidRPr="00243E98">
        <w:rPr>
          <w:rFonts w:ascii="Verdana" w:hAnsi="Verdana"/>
          <w:sz w:val="24"/>
          <w:szCs w:val="24"/>
        </w:rPr>
        <w:t>“Sem embargo dessas ponderáveis razões, não há como negar a superioridade da tese contrária, que reclama lei complementar para esse desiderato. É que a imunidade se diferencia das isenções, demais figuras de desonerações tributárias, justamente por cumprir uma missão mais nobre do que essas últimas.</w:t>
      </w:r>
    </w:p>
    <w:p w:rsidR="00BD39D4" w:rsidRPr="00243E98" w:rsidRDefault="00BD39D4" w:rsidP="00243E98">
      <w:pPr>
        <w:pStyle w:val="Textodenotaderodap"/>
        <w:jc w:val="both"/>
        <w:rPr>
          <w:rFonts w:ascii="Verdana" w:hAnsi="Verdana"/>
          <w:sz w:val="24"/>
          <w:szCs w:val="24"/>
        </w:rPr>
      </w:pPr>
      <w:r w:rsidRPr="00243E98">
        <w:rPr>
          <w:rFonts w:ascii="Verdana" w:hAnsi="Verdana"/>
          <w:sz w:val="24"/>
          <w:szCs w:val="24"/>
        </w:rPr>
        <w:t>A imunidade de contribuições sociais serve não apenas a propósitos fiscais, mas a concussão de alguns objetivos que são fundamentais para a República, como a construção de uma sociedade solidária e voltada para a erradicação da pobr</w:t>
      </w:r>
      <w:r w:rsidR="00124307">
        <w:rPr>
          <w:rFonts w:ascii="Verdana" w:hAnsi="Verdana"/>
          <w:sz w:val="24"/>
          <w:szCs w:val="24"/>
        </w:rPr>
        <w:t>eza. Objetivos fundamentais da R</w:t>
      </w:r>
      <w:r w:rsidRPr="00243E98">
        <w:rPr>
          <w:rFonts w:ascii="Verdana" w:hAnsi="Verdana"/>
          <w:sz w:val="24"/>
          <w:szCs w:val="24"/>
        </w:rPr>
        <w:t xml:space="preserve">epública não podem ficar </w:t>
      </w:r>
      <w:r w:rsidR="002466C4" w:rsidRPr="00243E98">
        <w:rPr>
          <w:rFonts w:ascii="Verdana" w:hAnsi="Verdana"/>
          <w:sz w:val="24"/>
          <w:szCs w:val="24"/>
        </w:rPr>
        <w:t>à</w:t>
      </w:r>
      <w:r w:rsidRPr="00243E98">
        <w:rPr>
          <w:rFonts w:ascii="Verdana" w:hAnsi="Verdana"/>
          <w:sz w:val="24"/>
          <w:szCs w:val="24"/>
        </w:rPr>
        <w:t xml:space="preserve"> mercê da vontade transitória de governos. Devem ser respeitados, honrados e valorizados por todos os governos, transcendendo a frequência ordinária em que se desenvolve costumeiramente os juízos políticos de conveniência e oportunidade para desfrutar da dignidade política de Estado, porque é isso o que são.</w:t>
      </w:r>
    </w:p>
    <w:p w:rsidR="00BD39D4" w:rsidRPr="00243E98" w:rsidRDefault="00BD39D4" w:rsidP="00243E98">
      <w:pPr>
        <w:pStyle w:val="Textodenotaderodap"/>
        <w:jc w:val="both"/>
        <w:rPr>
          <w:rFonts w:ascii="Verdana" w:hAnsi="Verdana"/>
          <w:sz w:val="24"/>
          <w:szCs w:val="24"/>
        </w:rPr>
      </w:pPr>
      <w:r w:rsidRPr="00243E98">
        <w:rPr>
          <w:rFonts w:ascii="Verdana" w:hAnsi="Verdana"/>
          <w:sz w:val="24"/>
          <w:szCs w:val="24"/>
        </w:rPr>
        <w:t xml:space="preserve">Ora se é assim, não se pode conceber que fique o regime jurídico das entidades beneficentes sujeitos a flutuações legislativas erráticas não raramente influenciadas por pressões arrecadatórias de ocasião. É inadmissível que tema tão sensível venha a ser regulado, por exemplo, por meio de medida provisória, como já ocorreu” (Sessão de julgamento do dia 04/06/2014, Julgamento das </w:t>
      </w:r>
      <w:proofErr w:type="spellStart"/>
      <w:r w:rsidRPr="00243E98">
        <w:rPr>
          <w:rFonts w:ascii="Verdana" w:hAnsi="Verdana"/>
          <w:sz w:val="24"/>
          <w:szCs w:val="24"/>
        </w:rPr>
        <w:t>ADI’s</w:t>
      </w:r>
      <w:proofErr w:type="spellEnd"/>
      <w:r w:rsidRPr="00243E98">
        <w:rPr>
          <w:rFonts w:ascii="Verdana" w:hAnsi="Verdana"/>
          <w:sz w:val="24"/>
          <w:szCs w:val="24"/>
        </w:rPr>
        <w:t xml:space="preserve"> 2028, 2621, 2228 e 2036, imunidade do art. 195, § 7º da CF: exigência de LC).</w:t>
      </w:r>
    </w:p>
    <w:p w:rsidR="00BD39D4" w:rsidRPr="00243E98" w:rsidRDefault="00BD39D4" w:rsidP="00243E98">
      <w:pPr>
        <w:pStyle w:val="Textodenotaderodap"/>
        <w:jc w:val="both"/>
        <w:rPr>
          <w:rFonts w:ascii="Verdana" w:hAnsi="Verdana"/>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D4" w:rsidRDefault="00BD39D4" w:rsidP="00DC7552">
    <w:pPr>
      <w:pBdr>
        <w:top w:val="single" w:sz="4" w:space="1" w:color="auto"/>
        <w:left w:val="single" w:sz="4" w:space="4" w:color="auto"/>
        <w:bottom w:val="single" w:sz="4" w:space="1" w:color="auto"/>
        <w:right w:val="single" w:sz="4" w:space="4" w:color="auto"/>
      </w:pBdr>
      <w:shd w:val="clear" w:color="auto" w:fill="D9D9D9"/>
      <w:spacing w:after="0" w:line="240" w:lineRule="auto"/>
      <w:jc w:val="right"/>
      <w:rPr>
        <w:rFonts w:ascii="Bookman Old Style" w:hAnsi="Bookman Old Style"/>
        <w:b/>
        <w:sz w:val="20"/>
        <w:szCs w:val="20"/>
      </w:rPr>
    </w:pPr>
    <w:r w:rsidRPr="00F4187A">
      <w:rPr>
        <w:rFonts w:ascii="Bookman Old Style" w:hAnsi="Bookman Old Style"/>
        <w:b/>
        <w:sz w:val="20"/>
        <w:szCs w:val="20"/>
      </w:rPr>
      <w:t xml:space="preserve">IVES GANDRA DA SILVA MARTINS, </w:t>
    </w:r>
  </w:p>
  <w:p w:rsidR="00BD39D4" w:rsidRDefault="00BD39D4" w:rsidP="00DC7552">
    <w:pPr>
      <w:pBdr>
        <w:top w:val="single" w:sz="4" w:space="1" w:color="auto"/>
        <w:left w:val="single" w:sz="4" w:space="4" w:color="auto"/>
        <w:bottom w:val="single" w:sz="4" w:space="1" w:color="auto"/>
        <w:right w:val="single" w:sz="4" w:space="4" w:color="auto"/>
      </w:pBdr>
      <w:shd w:val="clear" w:color="auto" w:fill="D9D9D9"/>
      <w:spacing w:after="0" w:line="240" w:lineRule="auto"/>
      <w:jc w:val="right"/>
      <w:rPr>
        <w:rFonts w:ascii="Bookman Old Style" w:hAnsi="Bookman Old Style"/>
        <w:sz w:val="20"/>
        <w:szCs w:val="20"/>
      </w:rPr>
    </w:pPr>
    <w:r w:rsidRPr="00F4187A">
      <w:rPr>
        <w:rFonts w:ascii="Bookman Old Style" w:hAnsi="Bookman Old Style"/>
        <w:sz w:val="20"/>
        <w:szCs w:val="20"/>
      </w:rPr>
      <w:t>Professor Emérito da</w:t>
    </w:r>
    <w:r>
      <w:rPr>
        <w:rFonts w:ascii="Bookman Old Style" w:hAnsi="Bookman Old Style"/>
        <w:sz w:val="20"/>
        <w:szCs w:val="20"/>
      </w:rPr>
      <w:t xml:space="preserve"> Universidade</w:t>
    </w:r>
    <w:r w:rsidRPr="00F4187A">
      <w:rPr>
        <w:rFonts w:ascii="Bookman Old Style" w:hAnsi="Bookman Old Style"/>
        <w:sz w:val="20"/>
        <w:szCs w:val="20"/>
      </w:rPr>
      <w:t xml:space="preserve"> Mackenzie, </w:t>
    </w:r>
    <w:r>
      <w:rPr>
        <w:rFonts w:ascii="Bookman Old Style" w:hAnsi="Bookman Old Style"/>
        <w:sz w:val="20"/>
        <w:szCs w:val="20"/>
      </w:rPr>
      <w:t>em cuja Faculdade de Direito</w:t>
    </w:r>
  </w:p>
  <w:p w:rsidR="00BD39D4" w:rsidRDefault="00BD39D4" w:rsidP="00DC7552">
    <w:pPr>
      <w:pBdr>
        <w:top w:val="single" w:sz="4" w:space="1" w:color="auto"/>
        <w:left w:val="single" w:sz="4" w:space="4" w:color="auto"/>
        <w:bottom w:val="single" w:sz="4" w:space="1" w:color="auto"/>
        <w:right w:val="single" w:sz="4" w:space="4" w:color="auto"/>
      </w:pBdr>
      <w:shd w:val="clear" w:color="auto" w:fill="D9D9D9"/>
      <w:spacing w:after="0" w:line="240" w:lineRule="auto"/>
      <w:jc w:val="right"/>
      <w:rPr>
        <w:rFonts w:ascii="Bookman Old Style" w:hAnsi="Bookman Old Style"/>
        <w:sz w:val="20"/>
        <w:szCs w:val="20"/>
      </w:rPr>
    </w:pPr>
    <w:r>
      <w:rPr>
        <w:rFonts w:ascii="Bookman Old Style" w:hAnsi="Bookman Old Style"/>
        <w:sz w:val="20"/>
        <w:szCs w:val="20"/>
      </w:rPr>
      <w:t>foi Titular de Direito Constitucional e Econômico e Doutor em Direito,</w:t>
    </w:r>
  </w:p>
  <w:p w:rsidR="00BD39D4" w:rsidRPr="002322D7" w:rsidRDefault="00BD39D4" w:rsidP="002322D7">
    <w:pPr>
      <w:pBdr>
        <w:top w:val="single" w:sz="4" w:space="1" w:color="auto"/>
        <w:left w:val="single" w:sz="4" w:space="4" w:color="auto"/>
        <w:bottom w:val="single" w:sz="4" w:space="1" w:color="auto"/>
        <w:right w:val="single" w:sz="4" w:space="4" w:color="auto"/>
      </w:pBdr>
      <w:shd w:val="clear" w:color="auto" w:fill="D9D9D9"/>
      <w:spacing w:after="0" w:line="240" w:lineRule="auto"/>
      <w:jc w:val="right"/>
      <w:rPr>
        <w:rFonts w:ascii="Bookman Old Style" w:hAnsi="Bookman Old Style"/>
        <w:sz w:val="20"/>
        <w:szCs w:val="20"/>
      </w:rPr>
    </w:pPr>
    <w:r>
      <w:rPr>
        <w:rFonts w:ascii="Bookman Old Style" w:hAnsi="Bookman Old Style"/>
        <w:sz w:val="20"/>
        <w:szCs w:val="20"/>
      </w:rPr>
      <w:t xml:space="preserve">Professor Emérito da </w:t>
    </w:r>
    <w:r w:rsidRPr="00F4187A">
      <w:rPr>
        <w:rFonts w:ascii="Bookman Old Style" w:hAnsi="Bookman Old Style"/>
        <w:sz w:val="20"/>
        <w:szCs w:val="20"/>
      </w:rPr>
      <w:t xml:space="preserve">UNIP, UNIFIEO, UNIFMU, do CIEE/O ESTADO DE SÃO PAULO, das Escolas de Comando e Estado-Maior do Exército - ECEME, Superior de Guerra - ESG e da Magistratura do Tribunal Regional Federal – 1ª Região; Professor Honorário das Universidades Austral (Argentina), San Martin de Porres (Peru) e </w:t>
    </w:r>
    <w:proofErr w:type="spellStart"/>
    <w:r w:rsidRPr="00F4187A">
      <w:rPr>
        <w:rFonts w:ascii="Bookman Old Style" w:hAnsi="Bookman Old Style"/>
        <w:sz w:val="20"/>
        <w:szCs w:val="20"/>
      </w:rPr>
      <w:t>Vasili</w:t>
    </w:r>
    <w:proofErr w:type="spellEnd"/>
    <w:r w:rsidRPr="00F4187A">
      <w:rPr>
        <w:rFonts w:ascii="Bookman Old Style" w:hAnsi="Bookman Old Style"/>
        <w:sz w:val="20"/>
        <w:szCs w:val="20"/>
      </w:rPr>
      <w:t xml:space="preserve"> </w:t>
    </w:r>
    <w:proofErr w:type="spellStart"/>
    <w:r w:rsidRPr="00F4187A">
      <w:rPr>
        <w:rFonts w:ascii="Bookman Old Style" w:hAnsi="Bookman Old Style"/>
        <w:sz w:val="20"/>
        <w:szCs w:val="20"/>
      </w:rPr>
      <w:t>Goldis</w:t>
    </w:r>
    <w:proofErr w:type="spellEnd"/>
    <w:r w:rsidRPr="00F4187A">
      <w:rPr>
        <w:rFonts w:ascii="Bookman Old Style" w:hAnsi="Bookman Old Style"/>
        <w:sz w:val="20"/>
        <w:szCs w:val="20"/>
      </w:rPr>
      <w:t xml:space="preserve"> (Romênia); Doutor Honoris Causa das Universidades de Craiova (Romênia) e das </w:t>
    </w:r>
    <w:proofErr w:type="spellStart"/>
    <w:r w:rsidRPr="00F4187A">
      <w:rPr>
        <w:rFonts w:ascii="Bookman Old Style" w:hAnsi="Bookman Old Style"/>
        <w:sz w:val="20"/>
        <w:szCs w:val="20"/>
      </w:rPr>
      <w:t>PUCs</w:t>
    </w:r>
    <w:proofErr w:type="spellEnd"/>
    <w:r w:rsidRPr="00F4187A">
      <w:rPr>
        <w:rFonts w:ascii="Bookman Old Style" w:hAnsi="Bookman Old Style"/>
        <w:sz w:val="20"/>
        <w:szCs w:val="20"/>
      </w:rPr>
      <w:t>-Paraná e Rio Grande do Sul, e Catedrático da U</w:t>
    </w:r>
    <w:r>
      <w:rPr>
        <w:rFonts w:ascii="Bookman Old Style" w:hAnsi="Bookman Old Style"/>
        <w:sz w:val="20"/>
        <w:szCs w:val="20"/>
      </w:rPr>
      <w:t>niversidade do Minho (Portugal),</w:t>
    </w:r>
    <w:r w:rsidRPr="00F4187A">
      <w:rPr>
        <w:rFonts w:ascii="Bookman Old Style" w:hAnsi="Bookman Old Style"/>
        <w:sz w:val="20"/>
        <w:szCs w:val="20"/>
      </w:rPr>
      <w:t xml:space="preserve"> Fundador e Presidente Honorário do Centro de Extensão Universitária </w:t>
    </w:r>
    <w:r>
      <w:rPr>
        <w:rFonts w:ascii="Bookman Old Style" w:hAnsi="Bookman Old Style"/>
        <w:sz w:val="20"/>
        <w:szCs w:val="20"/>
      </w:rPr>
      <w:t>–</w:t>
    </w:r>
    <w:r w:rsidRPr="00F4187A">
      <w:rPr>
        <w:rFonts w:ascii="Bookman Old Style" w:hAnsi="Bookman Old Style"/>
        <w:sz w:val="20"/>
        <w:szCs w:val="20"/>
      </w:rPr>
      <w:t xml:space="preserve"> CEU</w:t>
    </w:r>
    <w:r>
      <w:rPr>
        <w:rFonts w:ascii="Bookman Old Style" w:hAnsi="Bookman Old Style"/>
        <w:sz w:val="20"/>
        <w:szCs w:val="20"/>
      </w:rPr>
      <w:t xml:space="preserve">- Escola de Direito. </w:t>
    </w:r>
  </w:p>
  <w:p w:rsidR="00BD39D4" w:rsidRDefault="00BD39D4">
    <w:pPr>
      <w:pStyle w:val="Cabealho"/>
    </w:pPr>
  </w:p>
  <w:p w:rsidR="00BD39D4" w:rsidRDefault="00BD39D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C33B3"/>
    <w:multiLevelType w:val="hybridMultilevel"/>
    <w:tmpl w:val="F0047BC0"/>
    <w:lvl w:ilvl="0" w:tplc="04160017">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28C"/>
    <w:rsid w:val="00001E29"/>
    <w:rsid w:val="0000494D"/>
    <w:rsid w:val="0000622E"/>
    <w:rsid w:val="00017437"/>
    <w:rsid w:val="00032412"/>
    <w:rsid w:val="0003567F"/>
    <w:rsid w:val="00040C8B"/>
    <w:rsid w:val="00042FCA"/>
    <w:rsid w:val="00051464"/>
    <w:rsid w:val="00073663"/>
    <w:rsid w:val="0007428E"/>
    <w:rsid w:val="000773B7"/>
    <w:rsid w:val="00091451"/>
    <w:rsid w:val="000B1B25"/>
    <w:rsid w:val="000C37FD"/>
    <w:rsid w:val="000D2C48"/>
    <w:rsid w:val="000D5EB2"/>
    <w:rsid w:val="000D71BE"/>
    <w:rsid w:val="000F0708"/>
    <w:rsid w:val="000F23E2"/>
    <w:rsid w:val="000F596A"/>
    <w:rsid w:val="000F6B3D"/>
    <w:rsid w:val="00100EF5"/>
    <w:rsid w:val="00102391"/>
    <w:rsid w:val="00124307"/>
    <w:rsid w:val="0012711F"/>
    <w:rsid w:val="001330EC"/>
    <w:rsid w:val="001446AF"/>
    <w:rsid w:val="001448A1"/>
    <w:rsid w:val="001523B3"/>
    <w:rsid w:val="001557D0"/>
    <w:rsid w:val="00160938"/>
    <w:rsid w:val="00160B4F"/>
    <w:rsid w:val="0017071B"/>
    <w:rsid w:val="0017131B"/>
    <w:rsid w:val="00180EF0"/>
    <w:rsid w:val="001920E3"/>
    <w:rsid w:val="001A4769"/>
    <w:rsid w:val="001A47F2"/>
    <w:rsid w:val="001A50B6"/>
    <w:rsid w:val="001C68B1"/>
    <w:rsid w:val="001C7080"/>
    <w:rsid w:val="001D1FC0"/>
    <w:rsid w:val="001D5F15"/>
    <w:rsid w:val="001E458C"/>
    <w:rsid w:val="001F3204"/>
    <w:rsid w:val="001F5110"/>
    <w:rsid w:val="00205A59"/>
    <w:rsid w:val="00212816"/>
    <w:rsid w:val="002156F5"/>
    <w:rsid w:val="00217C6D"/>
    <w:rsid w:val="00220FA2"/>
    <w:rsid w:val="0022510D"/>
    <w:rsid w:val="00231C09"/>
    <w:rsid w:val="002322D7"/>
    <w:rsid w:val="002332A7"/>
    <w:rsid w:val="00234969"/>
    <w:rsid w:val="00242A80"/>
    <w:rsid w:val="00243E98"/>
    <w:rsid w:val="002466C4"/>
    <w:rsid w:val="00247114"/>
    <w:rsid w:val="00247D52"/>
    <w:rsid w:val="00264503"/>
    <w:rsid w:val="002703FF"/>
    <w:rsid w:val="00271E7E"/>
    <w:rsid w:val="002774FD"/>
    <w:rsid w:val="0029444F"/>
    <w:rsid w:val="00294C3C"/>
    <w:rsid w:val="002A3345"/>
    <w:rsid w:val="002B01E8"/>
    <w:rsid w:val="002C1AAA"/>
    <w:rsid w:val="002C424B"/>
    <w:rsid w:val="002D30D3"/>
    <w:rsid w:val="002D4EED"/>
    <w:rsid w:val="002E2718"/>
    <w:rsid w:val="002F00A2"/>
    <w:rsid w:val="002F1182"/>
    <w:rsid w:val="00324D01"/>
    <w:rsid w:val="00327204"/>
    <w:rsid w:val="00332586"/>
    <w:rsid w:val="00335ED4"/>
    <w:rsid w:val="00342E6F"/>
    <w:rsid w:val="00350FEF"/>
    <w:rsid w:val="00356F57"/>
    <w:rsid w:val="0036573D"/>
    <w:rsid w:val="00366157"/>
    <w:rsid w:val="00372246"/>
    <w:rsid w:val="0037746A"/>
    <w:rsid w:val="00382CE6"/>
    <w:rsid w:val="00395097"/>
    <w:rsid w:val="003A3FBE"/>
    <w:rsid w:val="003B2CE2"/>
    <w:rsid w:val="003D3B65"/>
    <w:rsid w:val="003D5C34"/>
    <w:rsid w:val="003E0A32"/>
    <w:rsid w:val="003F4C5D"/>
    <w:rsid w:val="0040478F"/>
    <w:rsid w:val="004170BA"/>
    <w:rsid w:val="00422DBC"/>
    <w:rsid w:val="00424377"/>
    <w:rsid w:val="00425C3F"/>
    <w:rsid w:val="00433A07"/>
    <w:rsid w:val="00433D7B"/>
    <w:rsid w:val="0044208E"/>
    <w:rsid w:val="00455EE9"/>
    <w:rsid w:val="0046047C"/>
    <w:rsid w:val="00466484"/>
    <w:rsid w:val="004674DE"/>
    <w:rsid w:val="00467627"/>
    <w:rsid w:val="0047026D"/>
    <w:rsid w:val="004812FE"/>
    <w:rsid w:val="004A117A"/>
    <w:rsid w:val="004A252E"/>
    <w:rsid w:val="004A3ACC"/>
    <w:rsid w:val="004A6AB2"/>
    <w:rsid w:val="004C1726"/>
    <w:rsid w:val="004C5655"/>
    <w:rsid w:val="004C59F3"/>
    <w:rsid w:val="004E3ECD"/>
    <w:rsid w:val="004E4303"/>
    <w:rsid w:val="004E7B96"/>
    <w:rsid w:val="0050212D"/>
    <w:rsid w:val="0052180C"/>
    <w:rsid w:val="005235FD"/>
    <w:rsid w:val="00524FF6"/>
    <w:rsid w:val="00537A71"/>
    <w:rsid w:val="00543516"/>
    <w:rsid w:val="0055192C"/>
    <w:rsid w:val="00554205"/>
    <w:rsid w:val="00554372"/>
    <w:rsid w:val="00562E0D"/>
    <w:rsid w:val="00562FB5"/>
    <w:rsid w:val="00570244"/>
    <w:rsid w:val="00572877"/>
    <w:rsid w:val="00575807"/>
    <w:rsid w:val="005821EA"/>
    <w:rsid w:val="00586089"/>
    <w:rsid w:val="005A16BF"/>
    <w:rsid w:val="005B1C59"/>
    <w:rsid w:val="005B67F7"/>
    <w:rsid w:val="005D025A"/>
    <w:rsid w:val="005E5F5F"/>
    <w:rsid w:val="005F3D66"/>
    <w:rsid w:val="00604C63"/>
    <w:rsid w:val="00613FC6"/>
    <w:rsid w:val="006151B9"/>
    <w:rsid w:val="00616B07"/>
    <w:rsid w:val="006263C6"/>
    <w:rsid w:val="00643381"/>
    <w:rsid w:val="00671189"/>
    <w:rsid w:val="0067716D"/>
    <w:rsid w:val="00683323"/>
    <w:rsid w:val="006836A3"/>
    <w:rsid w:val="0069418E"/>
    <w:rsid w:val="00695A1E"/>
    <w:rsid w:val="00695E19"/>
    <w:rsid w:val="006A03BF"/>
    <w:rsid w:val="006A3222"/>
    <w:rsid w:val="006C1B69"/>
    <w:rsid w:val="006C7BB5"/>
    <w:rsid w:val="006D594C"/>
    <w:rsid w:val="006D5E12"/>
    <w:rsid w:val="006D5F2F"/>
    <w:rsid w:val="006F04D7"/>
    <w:rsid w:val="00700FB5"/>
    <w:rsid w:val="0070640F"/>
    <w:rsid w:val="00706A1A"/>
    <w:rsid w:val="0070763D"/>
    <w:rsid w:val="007112EC"/>
    <w:rsid w:val="00726F54"/>
    <w:rsid w:val="00731FB3"/>
    <w:rsid w:val="00732BBB"/>
    <w:rsid w:val="00756E33"/>
    <w:rsid w:val="007753EE"/>
    <w:rsid w:val="00786829"/>
    <w:rsid w:val="00791474"/>
    <w:rsid w:val="00793296"/>
    <w:rsid w:val="007A7E9E"/>
    <w:rsid w:val="007B6342"/>
    <w:rsid w:val="007C26B0"/>
    <w:rsid w:val="007E0626"/>
    <w:rsid w:val="007E2CF5"/>
    <w:rsid w:val="007E36BD"/>
    <w:rsid w:val="007E5D8B"/>
    <w:rsid w:val="007F5720"/>
    <w:rsid w:val="008059CD"/>
    <w:rsid w:val="008214C6"/>
    <w:rsid w:val="00827733"/>
    <w:rsid w:val="00837BFC"/>
    <w:rsid w:val="00845AF6"/>
    <w:rsid w:val="00851863"/>
    <w:rsid w:val="0086002E"/>
    <w:rsid w:val="00871031"/>
    <w:rsid w:val="008716B9"/>
    <w:rsid w:val="0089110F"/>
    <w:rsid w:val="00892AEF"/>
    <w:rsid w:val="008C1CD1"/>
    <w:rsid w:val="008C4521"/>
    <w:rsid w:val="008C5147"/>
    <w:rsid w:val="008C7945"/>
    <w:rsid w:val="008D1F7F"/>
    <w:rsid w:val="008D5A0F"/>
    <w:rsid w:val="008D5E06"/>
    <w:rsid w:val="008E396B"/>
    <w:rsid w:val="008E4308"/>
    <w:rsid w:val="008E628C"/>
    <w:rsid w:val="008E7BC9"/>
    <w:rsid w:val="008F098A"/>
    <w:rsid w:val="008F2253"/>
    <w:rsid w:val="0090653A"/>
    <w:rsid w:val="00906C51"/>
    <w:rsid w:val="00914727"/>
    <w:rsid w:val="009167F6"/>
    <w:rsid w:val="00946675"/>
    <w:rsid w:val="00951D4E"/>
    <w:rsid w:val="00990390"/>
    <w:rsid w:val="00992AF3"/>
    <w:rsid w:val="009A12EC"/>
    <w:rsid w:val="009A4F28"/>
    <w:rsid w:val="009D375F"/>
    <w:rsid w:val="009D7630"/>
    <w:rsid w:val="009E0F01"/>
    <w:rsid w:val="009E2FDF"/>
    <w:rsid w:val="009E3FA2"/>
    <w:rsid w:val="009E6EA8"/>
    <w:rsid w:val="009F6154"/>
    <w:rsid w:val="00A21F8C"/>
    <w:rsid w:val="00A27FF9"/>
    <w:rsid w:val="00A31E5B"/>
    <w:rsid w:val="00A41A1D"/>
    <w:rsid w:val="00A443C2"/>
    <w:rsid w:val="00A44B88"/>
    <w:rsid w:val="00A53DA2"/>
    <w:rsid w:val="00A61037"/>
    <w:rsid w:val="00A753C3"/>
    <w:rsid w:val="00A77EFC"/>
    <w:rsid w:val="00AA186F"/>
    <w:rsid w:val="00AB2AE7"/>
    <w:rsid w:val="00AB47B7"/>
    <w:rsid w:val="00AB49D9"/>
    <w:rsid w:val="00AD0D80"/>
    <w:rsid w:val="00AD6847"/>
    <w:rsid w:val="00B0022B"/>
    <w:rsid w:val="00B06A7B"/>
    <w:rsid w:val="00B265DF"/>
    <w:rsid w:val="00B40C6C"/>
    <w:rsid w:val="00B45936"/>
    <w:rsid w:val="00B47D53"/>
    <w:rsid w:val="00B63A2F"/>
    <w:rsid w:val="00B63EA4"/>
    <w:rsid w:val="00B853F3"/>
    <w:rsid w:val="00BA3A7F"/>
    <w:rsid w:val="00BB09F4"/>
    <w:rsid w:val="00BB1707"/>
    <w:rsid w:val="00BB1982"/>
    <w:rsid w:val="00BB29A7"/>
    <w:rsid w:val="00BB2DFB"/>
    <w:rsid w:val="00BD1BBA"/>
    <w:rsid w:val="00BD39D4"/>
    <w:rsid w:val="00BE3205"/>
    <w:rsid w:val="00C06CF5"/>
    <w:rsid w:val="00C22337"/>
    <w:rsid w:val="00C27569"/>
    <w:rsid w:val="00C40DEF"/>
    <w:rsid w:val="00C45F21"/>
    <w:rsid w:val="00C47789"/>
    <w:rsid w:val="00C63860"/>
    <w:rsid w:val="00C719BF"/>
    <w:rsid w:val="00C73FD4"/>
    <w:rsid w:val="00C758C2"/>
    <w:rsid w:val="00C84E89"/>
    <w:rsid w:val="00C86C61"/>
    <w:rsid w:val="00C92993"/>
    <w:rsid w:val="00C95555"/>
    <w:rsid w:val="00C95882"/>
    <w:rsid w:val="00CA64C0"/>
    <w:rsid w:val="00CA7463"/>
    <w:rsid w:val="00CB0204"/>
    <w:rsid w:val="00CB0D51"/>
    <w:rsid w:val="00CB4F31"/>
    <w:rsid w:val="00CC44F8"/>
    <w:rsid w:val="00CC64AB"/>
    <w:rsid w:val="00CE5BFC"/>
    <w:rsid w:val="00CE7ECA"/>
    <w:rsid w:val="00D0208D"/>
    <w:rsid w:val="00D0357F"/>
    <w:rsid w:val="00D03605"/>
    <w:rsid w:val="00D05F18"/>
    <w:rsid w:val="00D15ECE"/>
    <w:rsid w:val="00D23B15"/>
    <w:rsid w:val="00D4637C"/>
    <w:rsid w:val="00D70878"/>
    <w:rsid w:val="00D74BD6"/>
    <w:rsid w:val="00D871B5"/>
    <w:rsid w:val="00DA1CDC"/>
    <w:rsid w:val="00DB31AA"/>
    <w:rsid w:val="00DC2233"/>
    <w:rsid w:val="00DC6AE9"/>
    <w:rsid w:val="00DC7552"/>
    <w:rsid w:val="00DD0655"/>
    <w:rsid w:val="00DE0253"/>
    <w:rsid w:val="00DF2099"/>
    <w:rsid w:val="00E01CDF"/>
    <w:rsid w:val="00E10378"/>
    <w:rsid w:val="00E24BA6"/>
    <w:rsid w:val="00E2700E"/>
    <w:rsid w:val="00E301FD"/>
    <w:rsid w:val="00E307E6"/>
    <w:rsid w:val="00E408BA"/>
    <w:rsid w:val="00E47B1E"/>
    <w:rsid w:val="00E51D48"/>
    <w:rsid w:val="00E72918"/>
    <w:rsid w:val="00E7511B"/>
    <w:rsid w:val="00E759FF"/>
    <w:rsid w:val="00E85E0B"/>
    <w:rsid w:val="00E908F5"/>
    <w:rsid w:val="00E93336"/>
    <w:rsid w:val="00EB0BD8"/>
    <w:rsid w:val="00EC6F8C"/>
    <w:rsid w:val="00ED22B0"/>
    <w:rsid w:val="00EE2A32"/>
    <w:rsid w:val="00EE71B0"/>
    <w:rsid w:val="00F1169B"/>
    <w:rsid w:val="00F13477"/>
    <w:rsid w:val="00F40E2E"/>
    <w:rsid w:val="00F43EF8"/>
    <w:rsid w:val="00F46AB2"/>
    <w:rsid w:val="00F5360D"/>
    <w:rsid w:val="00F75436"/>
    <w:rsid w:val="00F7673D"/>
    <w:rsid w:val="00F76CAD"/>
    <w:rsid w:val="00F81E89"/>
    <w:rsid w:val="00FA1F0A"/>
    <w:rsid w:val="00FC60D9"/>
    <w:rsid w:val="00FD05CE"/>
    <w:rsid w:val="00FE5D4A"/>
    <w:rsid w:val="00FE5EA4"/>
    <w:rsid w:val="00FF21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83FD80F-92AF-44D0-9D6C-27DF4B45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AA18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265D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7E0626"/>
  </w:style>
  <w:style w:type="paragraph" w:customStyle="1" w:styleId="texto2">
    <w:name w:val="texto2"/>
    <w:basedOn w:val="Normal"/>
    <w:rsid w:val="007E062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7E0626"/>
    <w:rPr>
      <w:color w:val="0000FF"/>
      <w:u w:val="single"/>
    </w:rPr>
  </w:style>
  <w:style w:type="character" w:styleId="Forte">
    <w:name w:val="Strong"/>
    <w:basedOn w:val="Fontepargpadro"/>
    <w:uiPriority w:val="22"/>
    <w:qFormat/>
    <w:rsid w:val="009A12EC"/>
    <w:rPr>
      <w:b/>
      <w:bCs/>
    </w:rPr>
  </w:style>
  <w:style w:type="character" w:styleId="nfase">
    <w:name w:val="Emphasis"/>
    <w:basedOn w:val="Fontepargpadro"/>
    <w:qFormat/>
    <w:rsid w:val="00001E29"/>
    <w:rPr>
      <w:i/>
      <w:iCs/>
    </w:rPr>
  </w:style>
  <w:style w:type="paragraph" w:styleId="Textodenotadefim">
    <w:name w:val="endnote text"/>
    <w:basedOn w:val="Normal"/>
    <w:link w:val="TextodenotadefimChar"/>
    <w:uiPriority w:val="99"/>
    <w:semiHidden/>
    <w:unhideWhenUsed/>
    <w:rsid w:val="00604C6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604C63"/>
    <w:rPr>
      <w:sz w:val="20"/>
      <w:szCs w:val="20"/>
    </w:rPr>
  </w:style>
  <w:style w:type="character" w:styleId="Refdenotadefim">
    <w:name w:val="endnote reference"/>
    <w:basedOn w:val="Fontepargpadro"/>
    <w:uiPriority w:val="99"/>
    <w:semiHidden/>
    <w:unhideWhenUsed/>
    <w:rsid w:val="00604C63"/>
    <w:rPr>
      <w:vertAlign w:val="superscript"/>
    </w:rPr>
  </w:style>
  <w:style w:type="paragraph" w:styleId="Textodenotaderodap">
    <w:name w:val="footnote text"/>
    <w:aliases w:val="Char,Nota de rodapé,footnote text,Footnote Text Char Char Char Char Char,Footnote Text Char Char Char Char"/>
    <w:basedOn w:val="Normal"/>
    <w:link w:val="TextodenotaderodapChar"/>
    <w:unhideWhenUsed/>
    <w:rsid w:val="00604C63"/>
    <w:pPr>
      <w:spacing w:after="0" w:line="240" w:lineRule="auto"/>
    </w:pPr>
    <w:rPr>
      <w:sz w:val="20"/>
      <w:szCs w:val="20"/>
    </w:rPr>
  </w:style>
  <w:style w:type="character" w:customStyle="1" w:styleId="TextodenotaderodapChar">
    <w:name w:val="Texto de nota de rodapé Char"/>
    <w:aliases w:val="Char Char,Nota de rodapé Char,footnote text Char,Footnote Text Char Char Char Char Char Char,Footnote Text Char Char Char Char Char1"/>
    <w:basedOn w:val="Fontepargpadro"/>
    <w:link w:val="Textodenotaderodap"/>
    <w:rsid w:val="00604C63"/>
    <w:rPr>
      <w:sz w:val="20"/>
      <w:szCs w:val="20"/>
    </w:rPr>
  </w:style>
  <w:style w:type="character" w:styleId="Refdenotaderodap">
    <w:name w:val="footnote reference"/>
    <w:aliases w:val="sobrescrito"/>
    <w:basedOn w:val="Fontepargpadro"/>
    <w:unhideWhenUsed/>
    <w:rsid w:val="00604C63"/>
    <w:rPr>
      <w:vertAlign w:val="superscript"/>
    </w:rPr>
  </w:style>
  <w:style w:type="character" w:customStyle="1" w:styleId="apple-style-span">
    <w:name w:val="apple-style-span"/>
    <w:basedOn w:val="Fontepargpadro"/>
    <w:rsid w:val="00FD05CE"/>
  </w:style>
  <w:style w:type="paragraph" w:styleId="Textodebalo">
    <w:name w:val="Balloon Text"/>
    <w:basedOn w:val="Normal"/>
    <w:link w:val="TextodebaloChar"/>
    <w:uiPriority w:val="99"/>
    <w:semiHidden/>
    <w:unhideWhenUsed/>
    <w:rsid w:val="00B63A2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63A2F"/>
    <w:rPr>
      <w:rFonts w:ascii="Segoe UI" w:hAnsi="Segoe UI" w:cs="Segoe UI"/>
      <w:sz w:val="18"/>
      <w:szCs w:val="18"/>
    </w:rPr>
  </w:style>
  <w:style w:type="paragraph" w:styleId="Cabealho">
    <w:name w:val="header"/>
    <w:basedOn w:val="Normal"/>
    <w:link w:val="CabealhoChar"/>
    <w:uiPriority w:val="99"/>
    <w:unhideWhenUsed/>
    <w:rsid w:val="003661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6157"/>
  </w:style>
  <w:style w:type="paragraph" w:styleId="Rodap">
    <w:name w:val="footer"/>
    <w:basedOn w:val="Normal"/>
    <w:link w:val="RodapChar"/>
    <w:uiPriority w:val="99"/>
    <w:unhideWhenUsed/>
    <w:rsid w:val="00366157"/>
    <w:pPr>
      <w:tabs>
        <w:tab w:val="center" w:pos="4252"/>
        <w:tab w:val="right" w:pos="8504"/>
      </w:tabs>
      <w:spacing w:after="0" w:line="240" w:lineRule="auto"/>
    </w:pPr>
  </w:style>
  <w:style w:type="character" w:customStyle="1" w:styleId="RodapChar">
    <w:name w:val="Rodapé Char"/>
    <w:basedOn w:val="Fontepargpadro"/>
    <w:link w:val="Rodap"/>
    <w:uiPriority w:val="99"/>
    <w:rsid w:val="00366157"/>
  </w:style>
  <w:style w:type="paragraph" w:styleId="PargrafodaLista">
    <w:name w:val="List Paragraph"/>
    <w:basedOn w:val="Normal"/>
    <w:uiPriority w:val="34"/>
    <w:qFormat/>
    <w:rsid w:val="00100EF5"/>
    <w:pPr>
      <w:ind w:left="720"/>
      <w:contextualSpacing/>
    </w:pPr>
  </w:style>
  <w:style w:type="character" w:customStyle="1" w:styleId="Ttulo1Char">
    <w:name w:val="Título 1 Char"/>
    <w:basedOn w:val="Fontepargpadro"/>
    <w:link w:val="Ttulo1"/>
    <w:uiPriority w:val="9"/>
    <w:rsid w:val="00AA186F"/>
    <w:rPr>
      <w:rFonts w:ascii="Times New Roman" w:eastAsia="Times New Roman" w:hAnsi="Times New Roman" w:cs="Times New Roman"/>
      <w:b/>
      <w:bCs/>
      <w:kern w:val="36"/>
      <w:sz w:val="48"/>
      <w:szCs w:val="48"/>
      <w:lang w:eastAsia="pt-BR"/>
    </w:rPr>
  </w:style>
  <w:style w:type="character" w:customStyle="1" w:styleId="a-size-large">
    <w:name w:val="a-size-large"/>
    <w:basedOn w:val="Fontepargpadro"/>
    <w:rsid w:val="00AA1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45267">
      <w:bodyDiv w:val="1"/>
      <w:marLeft w:val="0"/>
      <w:marRight w:val="0"/>
      <w:marTop w:val="0"/>
      <w:marBottom w:val="0"/>
      <w:divBdr>
        <w:top w:val="none" w:sz="0" w:space="0" w:color="auto"/>
        <w:left w:val="none" w:sz="0" w:space="0" w:color="auto"/>
        <w:bottom w:val="none" w:sz="0" w:space="0" w:color="auto"/>
        <w:right w:val="none" w:sz="0" w:space="0" w:color="auto"/>
      </w:divBdr>
    </w:div>
    <w:div w:id="397901553">
      <w:bodyDiv w:val="1"/>
      <w:marLeft w:val="0"/>
      <w:marRight w:val="0"/>
      <w:marTop w:val="0"/>
      <w:marBottom w:val="0"/>
      <w:divBdr>
        <w:top w:val="none" w:sz="0" w:space="0" w:color="auto"/>
        <w:left w:val="none" w:sz="0" w:space="0" w:color="auto"/>
        <w:bottom w:val="none" w:sz="0" w:space="0" w:color="auto"/>
        <w:right w:val="none" w:sz="0" w:space="0" w:color="auto"/>
      </w:divBdr>
    </w:div>
    <w:div w:id="479004486">
      <w:bodyDiv w:val="1"/>
      <w:marLeft w:val="0"/>
      <w:marRight w:val="0"/>
      <w:marTop w:val="0"/>
      <w:marBottom w:val="0"/>
      <w:divBdr>
        <w:top w:val="none" w:sz="0" w:space="0" w:color="auto"/>
        <w:left w:val="none" w:sz="0" w:space="0" w:color="auto"/>
        <w:bottom w:val="none" w:sz="0" w:space="0" w:color="auto"/>
        <w:right w:val="none" w:sz="0" w:space="0" w:color="auto"/>
      </w:divBdr>
    </w:div>
    <w:div w:id="503395939">
      <w:bodyDiv w:val="1"/>
      <w:marLeft w:val="0"/>
      <w:marRight w:val="0"/>
      <w:marTop w:val="0"/>
      <w:marBottom w:val="0"/>
      <w:divBdr>
        <w:top w:val="none" w:sz="0" w:space="0" w:color="auto"/>
        <w:left w:val="none" w:sz="0" w:space="0" w:color="auto"/>
        <w:bottom w:val="none" w:sz="0" w:space="0" w:color="auto"/>
        <w:right w:val="none" w:sz="0" w:space="0" w:color="auto"/>
      </w:divBdr>
    </w:div>
    <w:div w:id="601650265">
      <w:bodyDiv w:val="1"/>
      <w:marLeft w:val="0"/>
      <w:marRight w:val="0"/>
      <w:marTop w:val="0"/>
      <w:marBottom w:val="0"/>
      <w:divBdr>
        <w:top w:val="none" w:sz="0" w:space="0" w:color="auto"/>
        <w:left w:val="none" w:sz="0" w:space="0" w:color="auto"/>
        <w:bottom w:val="none" w:sz="0" w:space="0" w:color="auto"/>
        <w:right w:val="none" w:sz="0" w:space="0" w:color="auto"/>
      </w:divBdr>
    </w:div>
    <w:div w:id="602030785">
      <w:bodyDiv w:val="1"/>
      <w:marLeft w:val="0"/>
      <w:marRight w:val="0"/>
      <w:marTop w:val="0"/>
      <w:marBottom w:val="0"/>
      <w:divBdr>
        <w:top w:val="none" w:sz="0" w:space="0" w:color="auto"/>
        <w:left w:val="none" w:sz="0" w:space="0" w:color="auto"/>
        <w:bottom w:val="none" w:sz="0" w:space="0" w:color="auto"/>
        <w:right w:val="none" w:sz="0" w:space="0" w:color="auto"/>
      </w:divBdr>
    </w:div>
    <w:div w:id="672535623">
      <w:bodyDiv w:val="1"/>
      <w:marLeft w:val="0"/>
      <w:marRight w:val="0"/>
      <w:marTop w:val="0"/>
      <w:marBottom w:val="0"/>
      <w:divBdr>
        <w:top w:val="none" w:sz="0" w:space="0" w:color="auto"/>
        <w:left w:val="none" w:sz="0" w:space="0" w:color="auto"/>
        <w:bottom w:val="none" w:sz="0" w:space="0" w:color="auto"/>
        <w:right w:val="none" w:sz="0" w:space="0" w:color="auto"/>
      </w:divBdr>
    </w:div>
    <w:div w:id="693265485">
      <w:bodyDiv w:val="1"/>
      <w:marLeft w:val="0"/>
      <w:marRight w:val="0"/>
      <w:marTop w:val="0"/>
      <w:marBottom w:val="0"/>
      <w:divBdr>
        <w:top w:val="none" w:sz="0" w:space="0" w:color="auto"/>
        <w:left w:val="none" w:sz="0" w:space="0" w:color="auto"/>
        <w:bottom w:val="none" w:sz="0" w:space="0" w:color="auto"/>
        <w:right w:val="none" w:sz="0" w:space="0" w:color="auto"/>
      </w:divBdr>
    </w:div>
    <w:div w:id="845169497">
      <w:bodyDiv w:val="1"/>
      <w:marLeft w:val="0"/>
      <w:marRight w:val="0"/>
      <w:marTop w:val="0"/>
      <w:marBottom w:val="0"/>
      <w:divBdr>
        <w:top w:val="none" w:sz="0" w:space="0" w:color="auto"/>
        <w:left w:val="none" w:sz="0" w:space="0" w:color="auto"/>
        <w:bottom w:val="none" w:sz="0" w:space="0" w:color="auto"/>
        <w:right w:val="none" w:sz="0" w:space="0" w:color="auto"/>
      </w:divBdr>
    </w:div>
    <w:div w:id="922881305">
      <w:bodyDiv w:val="1"/>
      <w:marLeft w:val="0"/>
      <w:marRight w:val="0"/>
      <w:marTop w:val="0"/>
      <w:marBottom w:val="0"/>
      <w:divBdr>
        <w:top w:val="none" w:sz="0" w:space="0" w:color="auto"/>
        <w:left w:val="none" w:sz="0" w:space="0" w:color="auto"/>
        <w:bottom w:val="none" w:sz="0" w:space="0" w:color="auto"/>
        <w:right w:val="none" w:sz="0" w:space="0" w:color="auto"/>
      </w:divBdr>
    </w:div>
    <w:div w:id="932008754">
      <w:bodyDiv w:val="1"/>
      <w:marLeft w:val="0"/>
      <w:marRight w:val="0"/>
      <w:marTop w:val="0"/>
      <w:marBottom w:val="0"/>
      <w:divBdr>
        <w:top w:val="none" w:sz="0" w:space="0" w:color="auto"/>
        <w:left w:val="none" w:sz="0" w:space="0" w:color="auto"/>
        <w:bottom w:val="none" w:sz="0" w:space="0" w:color="auto"/>
        <w:right w:val="none" w:sz="0" w:space="0" w:color="auto"/>
      </w:divBdr>
    </w:div>
    <w:div w:id="944531565">
      <w:bodyDiv w:val="1"/>
      <w:marLeft w:val="0"/>
      <w:marRight w:val="0"/>
      <w:marTop w:val="0"/>
      <w:marBottom w:val="0"/>
      <w:divBdr>
        <w:top w:val="none" w:sz="0" w:space="0" w:color="auto"/>
        <w:left w:val="none" w:sz="0" w:space="0" w:color="auto"/>
        <w:bottom w:val="none" w:sz="0" w:space="0" w:color="auto"/>
        <w:right w:val="none" w:sz="0" w:space="0" w:color="auto"/>
      </w:divBdr>
    </w:div>
    <w:div w:id="947394737">
      <w:bodyDiv w:val="1"/>
      <w:marLeft w:val="0"/>
      <w:marRight w:val="0"/>
      <w:marTop w:val="0"/>
      <w:marBottom w:val="0"/>
      <w:divBdr>
        <w:top w:val="none" w:sz="0" w:space="0" w:color="auto"/>
        <w:left w:val="none" w:sz="0" w:space="0" w:color="auto"/>
        <w:bottom w:val="none" w:sz="0" w:space="0" w:color="auto"/>
        <w:right w:val="none" w:sz="0" w:space="0" w:color="auto"/>
      </w:divBdr>
    </w:div>
    <w:div w:id="1101292353">
      <w:bodyDiv w:val="1"/>
      <w:marLeft w:val="0"/>
      <w:marRight w:val="0"/>
      <w:marTop w:val="0"/>
      <w:marBottom w:val="0"/>
      <w:divBdr>
        <w:top w:val="none" w:sz="0" w:space="0" w:color="auto"/>
        <w:left w:val="none" w:sz="0" w:space="0" w:color="auto"/>
        <w:bottom w:val="none" w:sz="0" w:space="0" w:color="auto"/>
        <w:right w:val="none" w:sz="0" w:space="0" w:color="auto"/>
      </w:divBdr>
    </w:div>
    <w:div w:id="1124735503">
      <w:bodyDiv w:val="1"/>
      <w:marLeft w:val="0"/>
      <w:marRight w:val="0"/>
      <w:marTop w:val="0"/>
      <w:marBottom w:val="0"/>
      <w:divBdr>
        <w:top w:val="none" w:sz="0" w:space="0" w:color="auto"/>
        <w:left w:val="none" w:sz="0" w:space="0" w:color="auto"/>
        <w:bottom w:val="none" w:sz="0" w:space="0" w:color="auto"/>
        <w:right w:val="none" w:sz="0" w:space="0" w:color="auto"/>
      </w:divBdr>
    </w:div>
    <w:div w:id="1177497647">
      <w:bodyDiv w:val="1"/>
      <w:marLeft w:val="0"/>
      <w:marRight w:val="0"/>
      <w:marTop w:val="0"/>
      <w:marBottom w:val="0"/>
      <w:divBdr>
        <w:top w:val="none" w:sz="0" w:space="0" w:color="auto"/>
        <w:left w:val="none" w:sz="0" w:space="0" w:color="auto"/>
        <w:bottom w:val="none" w:sz="0" w:space="0" w:color="auto"/>
        <w:right w:val="none" w:sz="0" w:space="0" w:color="auto"/>
      </w:divBdr>
    </w:div>
    <w:div w:id="1256744688">
      <w:bodyDiv w:val="1"/>
      <w:marLeft w:val="0"/>
      <w:marRight w:val="0"/>
      <w:marTop w:val="0"/>
      <w:marBottom w:val="0"/>
      <w:divBdr>
        <w:top w:val="none" w:sz="0" w:space="0" w:color="auto"/>
        <w:left w:val="none" w:sz="0" w:space="0" w:color="auto"/>
        <w:bottom w:val="none" w:sz="0" w:space="0" w:color="auto"/>
        <w:right w:val="none" w:sz="0" w:space="0" w:color="auto"/>
      </w:divBdr>
    </w:div>
    <w:div w:id="1298873957">
      <w:bodyDiv w:val="1"/>
      <w:marLeft w:val="0"/>
      <w:marRight w:val="0"/>
      <w:marTop w:val="0"/>
      <w:marBottom w:val="0"/>
      <w:divBdr>
        <w:top w:val="none" w:sz="0" w:space="0" w:color="auto"/>
        <w:left w:val="none" w:sz="0" w:space="0" w:color="auto"/>
        <w:bottom w:val="none" w:sz="0" w:space="0" w:color="auto"/>
        <w:right w:val="none" w:sz="0" w:space="0" w:color="auto"/>
      </w:divBdr>
    </w:div>
    <w:div w:id="1345017808">
      <w:bodyDiv w:val="1"/>
      <w:marLeft w:val="0"/>
      <w:marRight w:val="0"/>
      <w:marTop w:val="0"/>
      <w:marBottom w:val="0"/>
      <w:divBdr>
        <w:top w:val="none" w:sz="0" w:space="0" w:color="auto"/>
        <w:left w:val="none" w:sz="0" w:space="0" w:color="auto"/>
        <w:bottom w:val="none" w:sz="0" w:space="0" w:color="auto"/>
        <w:right w:val="none" w:sz="0" w:space="0" w:color="auto"/>
      </w:divBdr>
    </w:div>
    <w:div w:id="1404644814">
      <w:bodyDiv w:val="1"/>
      <w:marLeft w:val="0"/>
      <w:marRight w:val="0"/>
      <w:marTop w:val="0"/>
      <w:marBottom w:val="0"/>
      <w:divBdr>
        <w:top w:val="none" w:sz="0" w:space="0" w:color="auto"/>
        <w:left w:val="none" w:sz="0" w:space="0" w:color="auto"/>
        <w:bottom w:val="none" w:sz="0" w:space="0" w:color="auto"/>
        <w:right w:val="none" w:sz="0" w:space="0" w:color="auto"/>
      </w:divBdr>
    </w:div>
    <w:div w:id="1422020449">
      <w:bodyDiv w:val="1"/>
      <w:marLeft w:val="0"/>
      <w:marRight w:val="0"/>
      <w:marTop w:val="0"/>
      <w:marBottom w:val="0"/>
      <w:divBdr>
        <w:top w:val="none" w:sz="0" w:space="0" w:color="auto"/>
        <w:left w:val="none" w:sz="0" w:space="0" w:color="auto"/>
        <w:bottom w:val="none" w:sz="0" w:space="0" w:color="auto"/>
        <w:right w:val="none" w:sz="0" w:space="0" w:color="auto"/>
      </w:divBdr>
    </w:div>
    <w:div w:id="1465730367">
      <w:bodyDiv w:val="1"/>
      <w:marLeft w:val="0"/>
      <w:marRight w:val="0"/>
      <w:marTop w:val="0"/>
      <w:marBottom w:val="0"/>
      <w:divBdr>
        <w:top w:val="none" w:sz="0" w:space="0" w:color="auto"/>
        <w:left w:val="none" w:sz="0" w:space="0" w:color="auto"/>
        <w:bottom w:val="none" w:sz="0" w:space="0" w:color="auto"/>
        <w:right w:val="none" w:sz="0" w:space="0" w:color="auto"/>
      </w:divBdr>
    </w:div>
    <w:div w:id="1468010466">
      <w:bodyDiv w:val="1"/>
      <w:marLeft w:val="0"/>
      <w:marRight w:val="0"/>
      <w:marTop w:val="0"/>
      <w:marBottom w:val="0"/>
      <w:divBdr>
        <w:top w:val="none" w:sz="0" w:space="0" w:color="auto"/>
        <w:left w:val="none" w:sz="0" w:space="0" w:color="auto"/>
        <w:bottom w:val="none" w:sz="0" w:space="0" w:color="auto"/>
        <w:right w:val="none" w:sz="0" w:space="0" w:color="auto"/>
      </w:divBdr>
    </w:div>
    <w:div w:id="1520897199">
      <w:bodyDiv w:val="1"/>
      <w:marLeft w:val="0"/>
      <w:marRight w:val="0"/>
      <w:marTop w:val="0"/>
      <w:marBottom w:val="0"/>
      <w:divBdr>
        <w:top w:val="none" w:sz="0" w:space="0" w:color="auto"/>
        <w:left w:val="none" w:sz="0" w:space="0" w:color="auto"/>
        <w:bottom w:val="none" w:sz="0" w:space="0" w:color="auto"/>
        <w:right w:val="none" w:sz="0" w:space="0" w:color="auto"/>
      </w:divBdr>
    </w:div>
    <w:div w:id="1561480776">
      <w:bodyDiv w:val="1"/>
      <w:marLeft w:val="0"/>
      <w:marRight w:val="0"/>
      <w:marTop w:val="0"/>
      <w:marBottom w:val="0"/>
      <w:divBdr>
        <w:top w:val="none" w:sz="0" w:space="0" w:color="auto"/>
        <w:left w:val="none" w:sz="0" w:space="0" w:color="auto"/>
        <w:bottom w:val="none" w:sz="0" w:space="0" w:color="auto"/>
        <w:right w:val="none" w:sz="0" w:space="0" w:color="auto"/>
      </w:divBdr>
    </w:div>
    <w:div w:id="1583101453">
      <w:bodyDiv w:val="1"/>
      <w:marLeft w:val="0"/>
      <w:marRight w:val="0"/>
      <w:marTop w:val="0"/>
      <w:marBottom w:val="0"/>
      <w:divBdr>
        <w:top w:val="none" w:sz="0" w:space="0" w:color="auto"/>
        <w:left w:val="none" w:sz="0" w:space="0" w:color="auto"/>
        <w:bottom w:val="none" w:sz="0" w:space="0" w:color="auto"/>
        <w:right w:val="none" w:sz="0" w:space="0" w:color="auto"/>
      </w:divBdr>
    </w:div>
    <w:div w:id="1637443502">
      <w:bodyDiv w:val="1"/>
      <w:marLeft w:val="0"/>
      <w:marRight w:val="0"/>
      <w:marTop w:val="0"/>
      <w:marBottom w:val="0"/>
      <w:divBdr>
        <w:top w:val="none" w:sz="0" w:space="0" w:color="auto"/>
        <w:left w:val="none" w:sz="0" w:space="0" w:color="auto"/>
        <w:bottom w:val="none" w:sz="0" w:space="0" w:color="auto"/>
        <w:right w:val="none" w:sz="0" w:space="0" w:color="auto"/>
      </w:divBdr>
    </w:div>
    <w:div w:id="1710109649">
      <w:bodyDiv w:val="1"/>
      <w:marLeft w:val="0"/>
      <w:marRight w:val="0"/>
      <w:marTop w:val="0"/>
      <w:marBottom w:val="0"/>
      <w:divBdr>
        <w:top w:val="none" w:sz="0" w:space="0" w:color="auto"/>
        <w:left w:val="none" w:sz="0" w:space="0" w:color="auto"/>
        <w:bottom w:val="none" w:sz="0" w:space="0" w:color="auto"/>
        <w:right w:val="none" w:sz="0" w:space="0" w:color="auto"/>
      </w:divBdr>
    </w:div>
    <w:div w:id="1764380343">
      <w:bodyDiv w:val="1"/>
      <w:marLeft w:val="0"/>
      <w:marRight w:val="0"/>
      <w:marTop w:val="0"/>
      <w:marBottom w:val="0"/>
      <w:divBdr>
        <w:top w:val="none" w:sz="0" w:space="0" w:color="auto"/>
        <w:left w:val="none" w:sz="0" w:space="0" w:color="auto"/>
        <w:bottom w:val="none" w:sz="0" w:space="0" w:color="auto"/>
        <w:right w:val="none" w:sz="0" w:space="0" w:color="auto"/>
      </w:divBdr>
    </w:div>
    <w:div w:id="1823348949">
      <w:bodyDiv w:val="1"/>
      <w:marLeft w:val="0"/>
      <w:marRight w:val="0"/>
      <w:marTop w:val="0"/>
      <w:marBottom w:val="0"/>
      <w:divBdr>
        <w:top w:val="none" w:sz="0" w:space="0" w:color="auto"/>
        <w:left w:val="none" w:sz="0" w:space="0" w:color="auto"/>
        <w:bottom w:val="none" w:sz="0" w:space="0" w:color="auto"/>
        <w:right w:val="none" w:sz="0" w:space="0" w:color="auto"/>
      </w:divBdr>
    </w:div>
    <w:div w:id="1857502808">
      <w:bodyDiv w:val="1"/>
      <w:marLeft w:val="0"/>
      <w:marRight w:val="0"/>
      <w:marTop w:val="0"/>
      <w:marBottom w:val="0"/>
      <w:divBdr>
        <w:top w:val="none" w:sz="0" w:space="0" w:color="auto"/>
        <w:left w:val="none" w:sz="0" w:space="0" w:color="auto"/>
        <w:bottom w:val="none" w:sz="0" w:space="0" w:color="auto"/>
        <w:right w:val="none" w:sz="0" w:space="0" w:color="auto"/>
      </w:divBdr>
    </w:div>
    <w:div w:id="1904025397">
      <w:bodyDiv w:val="1"/>
      <w:marLeft w:val="0"/>
      <w:marRight w:val="0"/>
      <w:marTop w:val="0"/>
      <w:marBottom w:val="0"/>
      <w:divBdr>
        <w:top w:val="none" w:sz="0" w:space="0" w:color="auto"/>
        <w:left w:val="none" w:sz="0" w:space="0" w:color="auto"/>
        <w:bottom w:val="none" w:sz="0" w:space="0" w:color="auto"/>
        <w:right w:val="none" w:sz="0" w:space="0" w:color="auto"/>
      </w:divBdr>
    </w:div>
    <w:div w:id="213393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CP/Lcp104.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lanalto.gov.br/ccivil_03/constituicao/Emendas/Emc/emc75.htm" TargetMode="External"/><Relationship Id="rId1" Type="http://schemas.openxmlformats.org/officeDocument/2006/relationships/hyperlink" Target="http://redir.stf.jus.br/paginadorpub/paginador.jsp?docTP=AC&amp;docID=11574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0AD2F-3A6F-46C0-940A-C9AE02EE5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5894</Words>
  <Characters>31831</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Samanta</dc:creator>
  <cp:keywords/>
  <dc:description/>
  <cp:lastModifiedBy>Eliane Lampa</cp:lastModifiedBy>
  <cp:revision>8</cp:revision>
  <cp:lastPrinted>2017-03-22T20:08:00Z</cp:lastPrinted>
  <dcterms:created xsi:type="dcterms:W3CDTF">2017-04-04T18:13:00Z</dcterms:created>
  <dcterms:modified xsi:type="dcterms:W3CDTF">2017-05-15T15:22:00Z</dcterms:modified>
</cp:coreProperties>
</file>